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17CD" w14:textId="2F1A2078"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F06A36" w:rsidRPr="00AE2DF2">
        <w:rPr>
          <w:rFonts w:ascii="Arial" w:hAnsi="Arial" w:cs="Arial"/>
          <w:b/>
          <w:sz w:val="24"/>
          <w:szCs w:val="24"/>
        </w:rPr>
        <w:t>10</w:t>
      </w:r>
      <w:r w:rsidR="00AF03D1">
        <w:rPr>
          <w:rFonts w:ascii="Arial" w:hAnsi="Arial" w:cs="Arial"/>
          <w:b/>
          <w:sz w:val="24"/>
          <w:szCs w:val="24"/>
        </w:rPr>
        <w:t>4</w:t>
      </w:r>
      <w:r w:rsidRPr="00AE2DF2">
        <w:rPr>
          <w:rFonts w:ascii="Arial" w:hAnsi="Arial" w:cs="Arial"/>
          <w:b/>
          <w:sz w:val="24"/>
          <w:szCs w:val="24"/>
        </w:rPr>
        <w:t>-e</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00B11E87">
        <w:rPr>
          <w:rFonts w:ascii="Arial" w:hAnsi="Arial" w:cs="Arial"/>
          <w:b/>
          <w:sz w:val="24"/>
          <w:szCs w:val="24"/>
        </w:rPr>
        <w:tab/>
      </w:r>
      <w:r w:rsidR="00B11E87">
        <w:rPr>
          <w:rFonts w:ascii="Arial" w:hAnsi="Arial" w:cs="Arial"/>
          <w:b/>
          <w:sz w:val="24"/>
          <w:szCs w:val="24"/>
        </w:rPr>
        <w:tab/>
        <w:t xml:space="preserve"> </w:t>
      </w:r>
      <w:r w:rsidRPr="00A10AA2">
        <w:rPr>
          <w:rFonts w:ascii="Arial" w:hAnsi="Arial" w:cs="Arial"/>
          <w:b/>
          <w:sz w:val="24"/>
          <w:szCs w:val="24"/>
        </w:rPr>
        <w:t>R4-</w:t>
      </w:r>
      <w:r w:rsidR="003C2183" w:rsidRPr="00A10AA2">
        <w:t xml:space="preserve"> </w:t>
      </w:r>
      <w:r w:rsidR="003C2183" w:rsidRPr="00A10AA2">
        <w:rPr>
          <w:rFonts w:ascii="Arial" w:hAnsi="Arial" w:cs="Arial"/>
          <w:b/>
          <w:sz w:val="24"/>
          <w:szCs w:val="24"/>
        </w:rPr>
        <w:t>22</w:t>
      </w:r>
      <w:r w:rsidR="00232AB0">
        <w:rPr>
          <w:rFonts w:ascii="Arial" w:hAnsi="Arial" w:cs="Arial"/>
          <w:b/>
          <w:sz w:val="24"/>
          <w:szCs w:val="24"/>
        </w:rPr>
        <w:t>12580</w:t>
      </w:r>
    </w:p>
    <w:p w14:paraId="6986F94C" w14:textId="2D685CA1" w:rsidR="008538F3" w:rsidRPr="00D57AD5" w:rsidRDefault="008538F3" w:rsidP="008538F3">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00AF03D1">
        <w:rPr>
          <w:rFonts w:ascii="Arial" w:eastAsia="宋体" w:hAnsi="Arial" w:cs="Arial"/>
          <w:b/>
          <w:sz w:val="24"/>
          <w:szCs w:val="24"/>
        </w:rPr>
        <w:t>August</w:t>
      </w:r>
      <w:r w:rsidR="00B11E87" w:rsidRPr="00B11E87">
        <w:rPr>
          <w:rFonts w:ascii="Arial" w:eastAsia="宋体" w:hAnsi="Arial" w:cs="Arial"/>
          <w:b/>
          <w:sz w:val="24"/>
          <w:szCs w:val="24"/>
        </w:rPr>
        <w:t xml:space="preserve"> </w:t>
      </w:r>
      <w:r w:rsidR="00AF03D1">
        <w:rPr>
          <w:rFonts w:ascii="Arial" w:eastAsia="宋体" w:hAnsi="Arial" w:cs="Arial"/>
          <w:b/>
          <w:sz w:val="24"/>
          <w:szCs w:val="24"/>
        </w:rPr>
        <w:t>15</w:t>
      </w:r>
      <w:r w:rsidR="004D6E4D" w:rsidRPr="004D6E4D">
        <w:rPr>
          <w:rFonts w:ascii="Arial" w:eastAsia="宋体" w:hAnsi="Arial" w:cs="Arial"/>
          <w:b/>
          <w:sz w:val="24"/>
          <w:szCs w:val="24"/>
          <w:vertAlign w:val="superscript"/>
        </w:rPr>
        <w:t>th</w:t>
      </w:r>
      <w:r w:rsidR="00B11E87">
        <w:rPr>
          <w:rFonts w:ascii="Arial" w:eastAsia="宋体" w:hAnsi="Arial" w:cs="Arial"/>
          <w:b/>
          <w:sz w:val="24"/>
          <w:szCs w:val="24"/>
        </w:rPr>
        <w:t xml:space="preserve"> </w:t>
      </w:r>
      <w:r w:rsidR="00232AB0">
        <w:rPr>
          <w:rFonts w:ascii="Arial" w:eastAsia="宋体" w:hAnsi="Arial" w:cs="Arial"/>
          <w:b/>
          <w:sz w:val="24"/>
          <w:szCs w:val="24"/>
        </w:rPr>
        <w:t>-</w:t>
      </w:r>
      <w:r w:rsidR="00B11E87" w:rsidRPr="00B11E87">
        <w:rPr>
          <w:rFonts w:ascii="Arial" w:eastAsia="宋体" w:hAnsi="Arial" w:cs="Arial"/>
          <w:b/>
          <w:sz w:val="24"/>
          <w:szCs w:val="24"/>
        </w:rPr>
        <w:t xml:space="preserve"> </w:t>
      </w:r>
      <w:r w:rsidR="00AF03D1">
        <w:rPr>
          <w:rFonts w:ascii="Arial" w:eastAsia="宋体" w:hAnsi="Arial" w:cs="Arial"/>
          <w:b/>
          <w:sz w:val="24"/>
          <w:szCs w:val="24"/>
        </w:rPr>
        <w:t>August 26</w:t>
      </w:r>
      <w:r w:rsidR="004D6E4D" w:rsidRPr="004D6E4D">
        <w:rPr>
          <w:rFonts w:ascii="Arial" w:eastAsia="宋体" w:hAnsi="Arial" w:cs="Arial"/>
          <w:b/>
          <w:sz w:val="24"/>
          <w:szCs w:val="24"/>
          <w:vertAlign w:val="superscript"/>
        </w:rPr>
        <w:t>th</w:t>
      </w:r>
      <w:r w:rsidR="00B11E87" w:rsidRPr="00B11E87">
        <w:rPr>
          <w:rFonts w:ascii="Arial" w:eastAsia="宋体" w:hAnsi="Arial" w:cs="Arial"/>
          <w:b/>
          <w:sz w:val="24"/>
          <w:szCs w:val="24"/>
        </w:rPr>
        <w:t>, 2022</w:t>
      </w:r>
    </w:p>
    <w:p w14:paraId="7A16D30A" w14:textId="77777777" w:rsidR="002E50C8" w:rsidRPr="004D6E4D" w:rsidRDefault="002E50C8" w:rsidP="002E50C8">
      <w:pPr>
        <w:spacing w:after="120"/>
        <w:ind w:left="1985" w:hanging="1985"/>
        <w:rPr>
          <w:rFonts w:ascii="Arial" w:eastAsia="MS Mincho" w:hAnsi="Arial" w:cs="Arial"/>
          <w:b/>
          <w:sz w:val="22"/>
        </w:rPr>
      </w:pPr>
    </w:p>
    <w:p w14:paraId="58AB1F31" w14:textId="5409C5B7"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514686">
        <w:rPr>
          <w:rFonts w:ascii="Arial" w:hAnsi="Arial" w:cs="Arial"/>
          <w:color w:val="000000"/>
          <w:sz w:val="22"/>
          <w:lang w:val="pt-BR"/>
        </w:rPr>
        <w:t>11</w:t>
      </w:r>
      <w:r w:rsidR="00E72D03" w:rsidRPr="00924E14">
        <w:rPr>
          <w:rFonts w:ascii="Arial" w:hAnsi="Arial" w:cs="Arial"/>
          <w:color w:val="000000"/>
          <w:sz w:val="22"/>
        </w:rPr>
        <w:t>.</w:t>
      </w:r>
      <w:r w:rsidR="00924E14" w:rsidRPr="00924E14">
        <w:rPr>
          <w:rFonts w:ascii="Arial" w:hAnsi="Arial" w:cs="Arial"/>
          <w:color w:val="000000"/>
          <w:sz w:val="22"/>
        </w:rPr>
        <w:t>1</w:t>
      </w:r>
      <w:r w:rsidR="00514686">
        <w:rPr>
          <w:rFonts w:ascii="Arial" w:hAnsi="Arial" w:cs="Arial"/>
          <w:color w:val="000000"/>
          <w:sz w:val="22"/>
        </w:rPr>
        <w:t>3</w:t>
      </w:r>
      <w:r w:rsidR="00E72D03" w:rsidRPr="00924E14">
        <w:rPr>
          <w:rFonts w:ascii="Arial" w:hAnsi="Arial" w:cs="Arial"/>
          <w:color w:val="000000"/>
          <w:sz w:val="22"/>
        </w:rPr>
        <w:t>.</w:t>
      </w:r>
      <w:r w:rsidR="00514686">
        <w:rPr>
          <w:rFonts w:ascii="Arial" w:hAnsi="Arial" w:cs="Arial"/>
          <w:color w:val="000000"/>
          <w:sz w:val="22"/>
        </w:rPr>
        <w:t>3</w:t>
      </w:r>
    </w:p>
    <w:p w14:paraId="37D87EAE" w14:textId="77777777"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14:paraId="0780B7ED" w14:textId="5C3678E5"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02981" w:rsidRPr="00902981">
        <w:rPr>
          <w:rFonts w:ascii="Arial" w:eastAsia="MS Mincho" w:hAnsi="Arial" w:cs="Arial"/>
          <w:bCs/>
          <w:color w:val="000000"/>
          <w:sz w:val="22"/>
        </w:rPr>
        <w:t>Discussion on r</w:t>
      </w:r>
      <w:r w:rsidR="00DC439D" w:rsidRPr="00902981">
        <w:rPr>
          <w:rFonts w:ascii="Arial" w:eastAsia="MS Mincho" w:hAnsi="Arial" w:cs="Arial"/>
          <w:bCs/>
          <w:color w:val="000000"/>
          <w:sz w:val="22"/>
        </w:rPr>
        <w:t xml:space="preserve">egulatory aspect of </w:t>
      </w:r>
      <w:r w:rsidR="00902981" w:rsidRPr="00902981">
        <w:rPr>
          <w:rFonts w:ascii="Arial" w:eastAsia="MS Mincho" w:hAnsi="Arial" w:cs="Arial"/>
          <w:bCs/>
          <w:color w:val="000000"/>
          <w:sz w:val="22"/>
        </w:rPr>
        <w:t>NR duplex evolution</w:t>
      </w:r>
    </w:p>
    <w:p w14:paraId="701CA2FC" w14:textId="6F743255" w:rsidR="002E50C8" w:rsidRPr="00F276E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276ED" w:rsidRPr="00902981">
        <w:rPr>
          <w:rFonts w:ascii="Arial" w:eastAsia="MS Mincho" w:hAnsi="Arial" w:cs="Arial"/>
          <w:bCs/>
          <w:color w:val="000000"/>
          <w:sz w:val="22"/>
        </w:rPr>
        <w:t>Discussion</w:t>
      </w:r>
    </w:p>
    <w:p w14:paraId="15A59DFA" w14:textId="77777777" w:rsidR="00621D14" w:rsidRDefault="00CF1FA6">
      <w:pPr>
        <w:pStyle w:val="1"/>
        <w:rPr>
          <w:lang w:eastAsia="zh-CN"/>
        </w:rPr>
      </w:pPr>
      <w:r>
        <w:t>Introduction</w:t>
      </w:r>
    </w:p>
    <w:p w14:paraId="2B867193" w14:textId="77777777" w:rsidR="006A3F7C" w:rsidRDefault="00902981" w:rsidP="006A3F7C">
      <w:pPr>
        <w:rPr>
          <w:rFonts w:ascii="Times New Roman" w:eastAsia="宋体" w:hAnsi="Times New Roman" w:cs="Times New Roman"/>
          <w:sz w:val="20"/>
          <w:szCs w:val="20"/>
          <w:lang w:eastAsia="ja-JP"/>
        </w:rPr>
      </w:pPr>
      <w:r w:rsidRPr="00DC439D">
        <w:rPr>
          <w:rFonts w:ascii="Times New Roman" w:hAnsi="Times New Roman"/>
          <w:color w:val="000000"/>
          <w:szCs w:val="20"/>
        </w:rPr>
        <w:t>In 3GPP RAN#96 meeting,</w:t>
      </w:r>
      <w:r w:rsidRPr="00902981">
        <w:rPr>
          <w:rFonts w:ascii="Times New Roman" w:hAnsi="Times New Roman" w:cs="Times New Roman"/>
          <w:szCs w:val="21"/>
        </w:rPr>
        <w:t xml:space="preserve"> </w:t>
      </w:r>
      <w:r>
        <w:rPr>
          <w:rFonts w:ascii="Times New Roman" w:hAnsi="Times New Roman" w:cs="Times New Roman"/>
          <w:szCs w:val="21"/>
        </w:rPr>
        <w:t>Rel-18 Study Item on e</w:t>
      </w:r>
      <w:r w:rsidRPr="00C04FDC">
        <w:rPr>
          <w:rFonts w:ascii="Times New Roman" w:eastAsia="宋体" w:hAnsi="Times New Roman" w:cs="Times New Roman"/>
          <w:sz w:val="20"/>
          <w:szCs w:val="20"/>
          <w:lang w:eastAsia="ja-JP"/>
        </w:rPr>
        <w:t>volution of NR duplex operation</w:t>
      </w:r>
      <w:r>
        <w:rPr>
          <w:rFonts w:ascii="Times New Roman" w:eastAsia="宋体" w:hAnsi="Times New Roman" w:cs="Times New Roman"/>
          <w:sz w:val="20"/>
          <w:szCs w:val="20"/>
          <w:lang w:eastAsia="ja-JP"/>
        </w:rPr>
        <w:t xml:space="preserve"> has been approved with the target to </w:t>
      </w:r>
      <w:r w:rsidRPr="00B60C52">
        <w:rPr>
          <w:rFonts w:ascii="Times New Roman" w:eastAsia="宋体" w:hAnsi="Times New Roman" w:cs="Times New Roman"/>
          <w:sz w:val="20"/>
          <w:szCs w:val="20"/>
          <w:lang w:eastAsia="ja-JP"/>
        </w:rPr>
        <w:t>provide enhanced UL coverage, reduced latency, improved system capacity, and improved configuration flexibility for NR TDD</w:t>
      </w:r>
      <w:r>
        <w:rPr>
          <w:rFonts w:ascii="Times New Roman" w:eastAsia="宋体" w:hAnsi="Times New Roman" w:cs="Times New Roman"/>
          <w:sz w:val="20"/>
          <w:szCs w:val="20"/>
          <w:lang w:eastAsia="ja-JP"/>
        </w:rPr>
        <w:t xml:space="preserve"> operation. According to </w:t>
      </w:r>
      <w:r w:rsidR="006A3F7C">
        <w:rPr>
          <w:rFonts w:ascii="Times New Roman" w:eastAsia="宋体" w:hAnsi="Times New Roman" w:cs="Times New Roman"/>
          <w:sz w:val="20"/>
          <w:szCs w:val="20"/>
          <w:lang w:eastAsia="ja-JP"/>
        </w:rPr>
        <w:t xml:space="preserve">the </w:t>
      </w:r>
      <w:r>
        <w:rPr>
          <w:rFonts w:ascii="Times New Roman" w:eastAsia="宋体" w:hAnsi="Times New Roman" w:cs="Times New Roman"/>
          <w:sz w:val="20"/>
          <w:szCs w:val="20"/>
          <w:lang w:eastAsia="ja-JP"/>
        </w:rPr>
        <w:t xml:space="preserve">latest SID in [1], </w:t>
      </w:r>
      <w:r w:rsidR="006A3F7C">
        <w:rPr>
          <w:rFonts w:ascii="Times New Roman" w:eastAsia="宋体" w:hAnsi="Times New Roman" w:cs="Times New Roman"/>
          <w:sz w:val="20"/>
          <w:szCs w:val="20"/>
          <w:lang w:eastAsia="ja-JP"/>
        </w:rPr>
        <w:t>the study would be based on assumptions as below:</w:t>
      </w:r>
    </w:p>
    <w:tbl>
      <w:tblPr>
        <w:tblStyle w:val="af6"/>
        <w:tblW w:w="0" w:type="auto"/>
        <w:tblLook w:val="04A0" w:firstRow="1" w:lastRow="0" w:firstColumn="1" w:lastColumn="0" w:noHBand="0" w:noVBand="1"/>
      </w:tblPr>
      <w:tblGrid>
        <w:gridCol w:w="8296"/>
      </w:tblGrid>
      <w:tr w:rsidR="006A3F7C" w14:paraId="460B81CD" w14:textId="77777777" w:rsidTr="006A3F7C">
        <w:tc>
          <w:tcPr>
            <w:tcW w:w="8296" w:type="dxa"/>
          </w:tcPr>
          <w:p w14:paraId="261E32DB" w14:textId="6711EAB5" w:rsidR="006A3F7C" w:rsidRPr="006A3F7C" w:rsidRDefault="006A3F7C" w:rsidP="006A3F7C">
            <w:pPr>
              <w:pStyle w:val="af3"/>
              <w:numPr>
                <w:ilvl w:val="0"/>
                <w:numId w:val="36"/>
              </w:numPr>
              <w:ind w:firstLineChars="0"/>
              <w:rPr>
                <w:rFonts w:ascii="Times New Roman" w:hAnsi="Times New Roman"/>
                <w:color w:val="000000"/>
                <w:szCs w:val="20"/>
              </w:rPr>
            </w:pPr>
            <w:r w:rsidRPr="006A3F7C">
              <w:rPr>
                <w:rFonts w:ascii="Times New Roman" w:hAnsi="Times New Roman"/>
                <w:color w:val="000000"/>
                <w:szCs w:val="20"/>
              </w:rPr>
              <w:t>Duplex enhancement at the gNB side</w:t>
            </w:r>
          </w:p>
          <w:p w14:paraId="6F91D120" w14:textId="293D30AC" w:rsidR="006A3F7C" w:rsidRPr="006A3F7C" w:rsidRDefault="006A3F7C" w:rsidP="006A3F7C">
            <w:pPr>
              <w:pStyle w:val="af3"/>
              <w:numPr>
                <w:ilvl w:val="0"/>
                <w:numId w:val="36"/>
              </w:numPr>
              <w:ind w:firstLineChars="0"/>
              <w:rPr>
                <w:rFonts w:ascii="Times New Roman" w:hAnsi="Times New Roman"/>
                <w:color w:val="000000"/>
                <w:szCs w:val="20"/>
              </w:rPr>
            </w:pPr>
            <w:r w:rsidRPr="006A3F7C">
              <w:rPr>
                <w:rFonts w:ascii="Times New Roman" w:hAnsi="Times New Roman"/>
                <w:color w:val="000000"/>
                <w:szCs w:val="20"/>
              </w:rPr>
              <w:t>Half duplex operation at the UE side</w:t>
            </w:r>
          </w:p>
          <w:p w14:paraId="1BEF4A8B" w14:textId="0C4BAC27" w:rsidR="006A3F7C" w:rsidRDefault="006A3F7C" w:rsidP="006A3F7C">
            <w:pPr>
              <w:pStyle w:val="af3"/>
              <w:numPr>
                <w:ilvl w:val="0"/>
                <w:numId w:val="36"/>
              </w:numPr>
              <w:ind w:firstLineChars="0"/>
              <w:rPr>
                <w:rFonts w:ascii="Times New Roman" w:eastAsia="宋体" w:hAnsi="Times New Roman" w:cs="Times New Roman"/>
                <w:sz w:val="20"/>
                <w:szCs w:val="20"/>
                <w:lang w:eastAsia="ja-JP"/>
              </w:rPr>
            </w:pPr>
            <w:r w:rsidRPr="006A3F7C">
              <w:rPr>
                <w:rFonts w:ascii="Times New Roman" w:hAnsi="Times New Roman"/>
                <w:color w:val="000000"/>
                <w:szCs w:val="20"/>
              </w:rPr>
              <w:t>No restriction on frequency ranges</w:t>
            </w:r>
          </w:p>
        </w:tc>
      </w:tr>
    </w:tbl>
    <w:p w14:paraId="5CCC9CB6" w14:textId="3F427F03" w:rsidR="006A3F7C" w:rsidRDefault="006A3F7C" w:rsidP="008D5F5A">
      <w:pPr>
        <w:rPr>
          <w:rFonts w:ascii="Times New Roman" w:eastAsia="宋体" w:hAnsi="Times New Roman" w:cs="Times New Roman"/>
          <w:sz w:val="20"/>
          <w:szCs w:val="20"/>
        </w:rPr>
      </w:pPr>
      <w:r>
        <w:rPr>
          <w:rFonts w:ascii="Times New Roman" w:eastAsia="宋体" w:hAnsi="Times New Roman" w:cs="Times New Roman"/>
          <w:sz w:val="20"/>
          <w:szCs w:val="20"/>
        </w:rPr>
        <w:t xml:space="preserve">And from regulatory perspective, one item needs to be considered by RAN4 as stated in the SID: </w:t>
      </w:r>
    </w:p>
    <w:tbl>
      <w:tblPr>
        <w:tblStyle w:val="af6"/>
        <w:tblW w:w="0" w:type="auto"/>
        <w:tblLook w:val="04A0" w:firstRow="1" w:lastRow="0" w:firstColumn="1" w:lastColumn="0" w:noHBand="0" w:noVBand="1"/>
      </w:tblPr>
      <w:tblGrid>
        <w:gridCol w:w="8296"/>
      </w:tblGrid>
      <w:tr w:rsidR="006A3F7C" w14:paraId="505BEABC" w14:textId="77777777" w:rsidTr="000405A4">
        <w:tc>
          <w:tcPr>
            <w:tcW w:w="8296" w:type="dxa"/>
          </w:tcPr>
          <w:p w14:paraId="1C2B9E12" w14:textId="227BBF08" w:rsidR="006A3F7C" w:rsidRPr="006A3F7C" w:rsidRDefault="006A3F7C" w:rsidP="006A3F7C">
            <w:pPr>
              <w:pStyle w:val="af3"/>
              <w:numPr>
                <w:ilvl w:val="0"/>
                <w:numId w:val="36"/>
              </w:numPr>
              <w:ind w:firstLineChars="0"/>
              <w:rPr>
                <w:rFonts w:ascii="Times New Roman" w:eastAsia="宋体" w:hAnsi="Times New Roman" w:cs="Times New Roman"/>
                <w:sz w:val="20"/>
                <w:szCs w:val="20"/>
                <w:lang w:eastAsia="ja-JP"/>
              </w:rPr>
            </w:pPr>
            <w:r w:rsidRPr="006A3F7C">
              <w:rPr>
                <w:rFonts w:ascii="Times New Roman" w:hAnsi="Times New Roman"/>
                <w:color w:val="000000"/>
                <w:szCs w:val="20"/>
              </w:rPr>
              <w:t>Summarize the regulatory aspects that have to be considered for deploying the identified duplex enhancements in TDD unpaired spectrum.</w:t>
            </w:r>
          </w:p>
        </w:tc>
      </w:tr>
    </w:tbl>
    <w:p w14:paraId="4A01CEB5" w14:textId="17E4E004" w:rsidR="000F0A98" w:rsidRPr="00DC439D" w:rsidRDefault="00EA09E4" w:rsidP="008D5F5A">
      <w:pPr>
        <w:rPr>
          <w:rFonts w:ascii="Times New Roman" w:hAnsi="Times New Roman"/>
          <w:color w:val="000000"/>
          <w:szCs w:val="20"/>
        </w:rPr>
      </w:pPr>
      <w:r>
        <w:rPr>
          <w:rFonts w:ascii="Times New Roman" w:hAnsi="Times New Roman"/>
          <w:color w:val="000000"/>
          <w:szCs w:val="20"/>
        </w:rPr>
        <w:t xml:space="preserve">In this document, </w:t>
      </w:r>
      <w:r w:rsidR="006A3F7C">
        <w:rPr>
          <w:rFonts w:ascii="Times New Roman" w:hAnsi="Times New Roman" w:hint="eastAsia"/>
          <w:color w:val="000000"/>
          <w:szCs w:val="20"/>
        </w:rPr>
        <w:t>an</w:t>
      </w:r>
      <w:r>
        <w:rPr>
          <w:rFonts w:ascii="Times New Roman" w:hAnsi="Times New Roman"/>
          <w:color w:val="000000"/>
          <w:szCs w:val="20"/>
        </w:rPr>
        <w:t xml:space="preserve"> initial review of regulations related to TDD </w:t>
      </w:r>
      <w:r w:rsidR="00F276ED">
        <w:rPr>
          <w:rFonts w:ascii="Times New Roman" w:hAnsi="Times New Roman"/>
          <w:color w:val="000000"/>
          <w:szCs w:val="20"/>
        </w:rPr>
        <w:t>synchronisation</w:t>
      </w:r>
      <w:r>
        <w:rPr>
          <w:rFonts w:ascii="Times New Roman" w:hAnsi="Times New Roman"/>
          <w:color w:val="000000"/>
          <w:szCs w:val="20"/>
        </w:rPr>
        <w:t xml:space="preserve"> </w:t>
      </w:r>
      <w:r w:rsidR="00DF3830">
        <w:rPr>
          <w:rFonts w:ascii="Times New Roman" w:hAnsi="Times New Roman"/>
          <w:color w:val="000000"/>
          <w:szCs w:val="20"/>
        </w:rPr>
        <w:t>which may exert constraints on the potential deployment of</w:t>
      </w:r>
      <w:r w:rsidR="00DF3830" w:rsidRPr="00DF3830">
        <w:rPr>
          <w:rFonts w:ascii="Times New Roman" w:hAnsi="Times New Roman"/>
          <w:color w:val="000000"/>
          <w:szCs w:val="20"/>
        </w:rPr>
        <w:t xml:space="preserve"> identified duplex enhancements in TDD unpaired spectrum</w:t>
      </w:r>
      <w:r w:rsidR="00DF3830">
        <w:rPr>
          <w:rFonts w:ascii="Times New Roman" w:hAnsi="Times New Roman"/>
          <w:color w:val="000000"/>
          <w:szCs w:val="20"/>
        </w:rPr>
        <w:t xml:space="preserve"> has been provided.</w:t>
      </w:r>
    </w:p>
    <w:p w14:paraId="091B4279" w14:textId="7A9FFE99" w:rsidR="00514686" w:rsidRPr="00514686" w:rsidRDefault="00514686" w:rsidP="00514686">
      <w:pPr>
        <w:pStyle w:val="1"/>
        <w:rPr>
          <w:lang w:eastAsia="zh-CN"/>
        </w:rPr>
      </w:pPr>
      <w:r>
        <w:t>Discussion</w:t>
      </w:r>
    </w:p>
    <w:p w14:paraId="33EE5CF1" w14:textId="779D035F" w:rsidR="006123B1" w:rsidRDefault="006123B1" w:rsidP="008D5F5A">
      <w:pPr>
        <w:rPr>
          <w:rFonts w:ascii="Times New Roman" w:hAnsi="Times New Roman" w:cs="Times New Roman"/>
          <w:sz w:val="20"/>
          <w:szCs w:val="20"/>
        </w:rPr>
      </w:pPr>
      <w:r>
        <w:rPr>
          <w:rFonts w:ascii="Times New Roman" w:hAnsi="Times New Roman" w:cs="Times New Roman"/>
          <w:sz w:val="20"/>
          <w:szCs w:val="20"/>
        </w:rPr>
        <w:t>The study item on NR duplex evolution contains two directions for discussion as SBFD (sub-band non-overlapping full duplexer) and potential enhancement on dynamic/flexible TDD</w:t>
      </w:r>
      <w:r w:rsidR="007418C7">
        <w:rPr>
          <w:rFonts w:ascii="Times New Roman" w:hAnsi="Times New Roman" w:cs="Times New Roman"/>
          <w:sz w:val="20"/>
          <w:szCs w:val="20"/>
        </w:rPr>
        <w:t>, which would bring changes to the frame structures applied by legacy TDD syste</w:t>
      </w:r>
      <w:r w:rsidR="004D6E4D">
        <w:rPr>
          <w:rFonts w:ascii="Times New Roman" w:hAnsi="Times New Roman" w:cs="Times New Roman"/>
          <w:sz w:val="20"/>
          <w:szCs w:val="20"/>
        </w:rPr>
        <w:t xml:space="preserve">ms, </w:t>
      </w:r>
      <w:r w:rsidR="007418C7">
        <w:rPr>
          <w:rFonts w:ascii="Times New Roman" w:hAnsi="Times New Roman" w:cs="Times New Roman"/>
          <w:sz w:val="20"/>
          <w:szCs w:val="20"/>
        </w:rPr>
        <w:t>shown in Figure 1 below</w:t>
      </w:r>
      <w:r w:rsidR="004D6E4D">
        <w:rPr>
          <w:rFonts w:ascii="Times New Roman" w:hAnsi="Times New Roman" w:cs="Times New Roman"/>
          <w:sz w:val="20"/>
          <w:szCs w:val="20"/>
        </w:rPr>
        <w:t xml:space="preserve"> taking SBFD operation as an example.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EA4A1D" w14:paraId="6B4C0151" w14:textId="77777777" w:rsidTr="007418C7">
        <w:trPr>
          <w:trHeight w:val="1445"/>
        </w:trPr>
        <w:tc>
          <w:tcPr>
            <w:tcW w:w="4148" w:type="dxa"/>
            <w:vAlign w:val="center"/>
          </w:tcPr>
          <w:p w14:paraId="7B854D07" w14:textId="4233C88B" w:rsidR="006123B1" w:rsidRDefault="00EA4A1D" w:rsidP="007418C7">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C6BDBB6" wp14:editId="42856E7B">
                  <wp:extent cx="2520000" cy="9596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959606"/>
                          </a:xfrm>
                          <a:prstGeom prst="rect">
                            <a:avLst/>
                          </a:prstGeom>
                          <a:noFill/>
                        </pic:spPr>
                      </pic:pic>
                    </a:graphicData>
                  </a:graphic>
                </wp:inline>
              </w:drawing>
            </w:r>
          </w:p>
          <w:p w14:paraId="6D631431" w14:textId="53AC0926" w:rsidR="006123B1" w:rsidRDefault="007418C7" w:rsidP="007418C7">
            <w:pPr>
              <w:jc w:val="center"/>
              <w:rPr>
                <w:rFonts w:ascii="Times New Roman" w:hAnsi="Times New Roman" w:cs="Times New Roman"/>
                <w:sz w:val="20"/>
                <w:szCs w:val="20"/>
              </w:rPr>
            </w:pPr>
            <w:r w:rsidRPr="008519B3">
              <w:rPr>
                <w:rFonts w:ascii="Arial" w:hAnsi="Arial" w:cs="Arial"/>
                <w:sz w:val="18"/>
                <w:szCs w:val="18"/>
              </w:rPr>
              <w:t>Legacy TDD operation</w:t>
            </w:r>
          </w:p>
        </w:tc>
        <w:tc>
          <w:tcPr>
            <w:tcW w:w="4148" w:type="dxa"/>
            <w:vAlign w:val="center"/>
          </w:tcPr>
          <w:p w14:paraId="2841B0E8" w14:textId="5CCF1E89" w:rsidR="006123B1" w:rsidRDefault="00EA4A1D" w:rsidP="007418C7">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8EA673A" wp14:editId="51F5CA5E">
                  <wp:extent cx="2520000" cy="95960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000" cy="959606"/>
                          </a:xfrm>
                          <a:prstGeom prst="rect">
                            <a:avLst/>
                          </a:prstGeom>
                          <a:noFill/>
                        </pic:spPr>
                      </pic:pic>
                    </a:graphicData>
                  </a:graphic>
                </wp:inline>
              </w:drawing>
            </w:r>
          </w:p>
          <w:p w14:paraId="0D0A9D94" w14:textId="658CDCC5" w:rsidR="007418C7" w:rsidRDefault="007418C7" w:rsidP="007418C7">
            <w:pPr>
              <w:jc w:val="center"/>
              <w:rPr>
                <w:rFonts w:ascii="Times New Roman" w:hAnsi="Times New Roman" w:cs="Times New Roman"/>
                <w:sz w:val="20"/>
                <w:szCs w:val="20"/>
              </w:rPr>
            </w:pPr>
            <w:r w:rsidRPr="008519B3">
              <w:rPr>
                <w:rFonts w:ascii="Arial" w:hAnsi="Arial" w:cs="Arial"/>
                <w:sz w:val="18"/>
                <w:szCs w:val="18"/>
              </w:rPr>
              <w:t>SBFD operation</w:t>
            </w:r>
          </w:p>
        </w:tc>
      </w:tr>
    </w:tbl>
    <w:p w14:paraId="39524193" w14:textId="77777777" w:rsidR="006123B1" w:rsidRPr="006123B1" w:rsidRDefault="006123B1" w:rsidP="006123B1">
      <w:pPr>
        <w:pStyle w:val="TAC"/>
        <w:rPr>
          <w:rFonts w:eastAsia="MS Mincho"/>
          <w:b/>
          <w:lang w:val="en-US"/>
        </w:rPr>
      </w:pPr>
      <w:r w:rsidRPr="006123B1">
        <w:rPr>
          <w:rFonts w:hint="eastAsia"/>
          <w:b/>
          <w:lang w:val="en-US"/>
        </w:rPr>
        <w:t>F</w:t>
      </w:r>
      <w:r w:rsidRPr="006123B1">
        <w:rPr>
          <w:b/>
          <w:lang w:val="en-US"/>
        </w:rPr>
        <w:t xml:space="preserve">igure 1: Legacy TDD operation Vs. SBFD operation </w:t>
      </w:r>
    </w:p>
    <w:p w14:paraId="12BC6C17" w14:textId="46AB5DC0" w:rsidR="006123B1" w:rsidRDefault="004D6E4D" w:rsidP="008D5F5A">
      <w:pPr>
        <w:rPr>
          <w:rFonts w:ascii="Times New Roman" w:hAnsi="Times New Roman" w:cs="Times New Roman"/>
          <w:b/>
          <w:bCs/>
          <w:sz w:val="20"/>
          <w:szCs w:val="20"/>
        </w:rPr>
      </w:pPr>
      <w:r w:rsidRPr="004D6E4D">
        <w:rPr>
          <w:rFonts w:ascii="Times New Roman" w:hAnsi="Times New Roman" w:cs="Times New Roman" w:hint="eastAsia"/>
          <w:b/>
          <w:bCs/>
          <w:sz w:val="20"/>
          <w:szCs w:val="20"/>
        </w:rPr>
        <w:t>O</w:t>
      </w:r>
      <w:r w:rsidRPr="004D6E4D">
        <w:rPr>
          <w:rFonts w:ascii="Times New Roman" w:hAnsi="Times New Roman" w:cs="Times New Roman"/>
          <w:b/>
          <w:bCs/>
          <w:sz w:val="20"/>
          <w:szCs w:val="20"/>
        </w:rPr>
        <w:t>bservation 1: The evolution of NR duplex operation would bring changes to the frame structures of legacy TDD operation</w:t>
      </w:r>
      <w:r w:rsidR="00EC09D6">
        <w:rPr>
          <w:rFonts w:ascii="Times New Roman" w:hAnsi="Times New Roman" w:cs="Times New Roman"/>
          <w:b/>
          <w:bCs/>
          <w:sz w:val="20"/>
          <w:szCs w:val="20"/>
        </w:rPr>
        <w:t xml:space="preserve"> and consequently may affect TDD </w:t>
      </w:r>
      <w:r w:rsidR="00F276ED">
        <w:rPr>
          <w:rFonts w:ascii="Times New Roman" w:hAnsi="Times New Roman" w:cs="Times New Roman"/>
          <w:b/>
          <w:bCs/>
          <w:sz w:val="20"/>
          <w:szCs w:val="20"/>
        </w:rPr>
        <w:t>synchronisation</w:t>
      </w:r>
      <w:r w:rsidRPr="004D6E4D">
        <w:rPr>
          <w:rFonts w:ascii="Times New Roman" w:hAnsi="Times New Roman" w:cs="Times New Roman"/>
          <w:b/>
          <w:bCs/>
          <w:sz w:val="20"/>
          <w:szCs w:val="20"/>
        </w:rPr>
        <w:t xml:space="preserve">. </w:t>
      </w:r>
    </w:p>
    <w:p w14:paraId="54AD15B5" w14:textId="0A7E759E" w:rsidR="00EC09D6" w:rsidRPr="00EC09D6" w:rsidRDefault="00EC09D6" w:rsidP="008D5F5A">
      <w:pPr>
        <w:rPr>
          <w:rFonts w:ascii="Times New Roman" w:hAnsi="Times New Roman" w:cs="Times New Roman"/>
          <w:sz w:val="20"/>
          <w:szCs w:val="20"/>
        </w:rPr>
      </w:pPr>
      <w:r w:rsidRPr="00EC09D6">
        <w:rPr>
          <w:rFonts w:ascii="Times New Roman" w:hAnsi="Times New Roman" w:cs="Times New Roman"/>
          <w:sz w:val="20"/>
          <w:szCs w:val="20"/>
        </w:rPr>
        <w:t>Based on</w:t>
      </w:r>
      <w:r>
        <w:rPr>
          <w:rFonts w:ascii="Times New Roman" w:hAnsi="Times New Roman" w:cs="Times New Roman"/>
          <w:sz w:val="20"/>
          <w:szCs w:val="20"/>
        </w:rPr>
        <w:t xml:space="preserve"> such o</w:t>
      </w:r>
      <w:r w:rsidRPr="00EC09D6">
        <w:rPr>
          <w:rFonts w:ascii="Times New Roman" w:hAnsi="Times New Roman" w:cs="Times New Roman"/>
          <w:sz w:val="20"/>
          <w:szCs w:val="20"/>
        </w:rPr>
        <w:t xml:space="preserve">bservation, an initial review of </w:t>
      </w:r>
      <w:r>
        <w:rPr>
          <w:rFonts w:ascii="Times New Roman" w:hAnsi="Times New Roman" w:cs="Times New Roman"/>
          <w:sz w:val="20"/>
          <w:szCs w:val="20"/>
        </w:rPr>
        <w:t xml:space="preserve">the </w:t>
      </w:r>
      <w:r w:rsidRPr="00EC09D6">
        <w:rPr>
          <w:rFonts w:ascii="Times New Roman" w:hAnsi="Times New Roman" w:cs="Times New Roman"/>
          <w:sz w:val="20"/>
          <w:szCs w:val="20"/>
        </w:rPr>
        <w:t xml:space="preserve">regulatory framework </w:t>
      </w:r>
      <w:r>
        <w:rPr>
          <w:rFonts w:ascii="Times New Roman" w:hAnsi="Times New Roman" w:cs="Times New Roman"/>
          <w:sz w:val="20"/>
          <w:szCs w:val="20"/>
        </w:rPr>
        <w:t xml:space="preserve">with regard to TDD </w:t>
      </w:r>
      <w:r w:rsidR="00F276ED">
        <w:rPr>
          <w:rFonts w:ascii="Times New Roman" w:hAnsi="Times New Roman" w:cs="Times New Roman"/>
          <w:sz w:val="20"/>
          <w:szCs w:val="20"/>
        </w:rPr>
        <w:t>synchronisation</w:t>
      </w:r>
      <w:r>
        <w:rPr>
          <w:rFonts w:ascii="Times New Roman" w:hAnsi="Times New Roman" w:cs="Times New Roman"/>
          <w:sz w:val="20"/>
          <w:szCs w:val="20"/>
        </w:rPr>
        <w:t xml:space="preserve"> </w:t>
      </w:r>
      <w:r w:rsidRPr="00EC09D6">
        <w:rPr>
          <w:rFonts w:ascii="Times New Roman" w:hAnsi="Times New Roman" w:cs="Times New Roman"/>
          <w:sz w:val="20"/>
          <w:szCs w:val="20"/>
        </w:rPr>
        <w:t>in Europe has been</w:t>
      </w:r>
      <w:r>
        <w:rPr>
          <w:rFonts w:ascii="Times New Roman" w:hAnsi="Times New Roman" w:cs="Times New Roman"/>
          <w:sz w:val="20"/>
          <w:szCs w:val="20"/>
        </w:rPr>
        <w:t xml:space="preserve"> conducted.</w:t>
      </w:r>
    </w:p>
    <w:p w14:paraId="401A4E3D" w14:textId="4C3857E5" w:rsidR="00B53E3D" w:rsidRPr="00B53E3D" w:rsidRDefault="00B53E3D" w:rsidP="008D5F5A">
      <w:pPr>
        <w:rPr>
          <w:rFonts w:ascii="Times New Roman" w:hAnsi="Times New Roman" w:cs="Times New Roman"/>
          <w:b/>
          <w:bCs/>
          <w:sz w:val="20"/>
          <w:szCs w:val="20"/>
          <w:u w:val="single"/>
        </w:rPr>
      </w:pPr>
      <w:r w:rsidRPr="00B53E3D">
        <w:rPr>
          <w:rFonts w:ascii="Times New Roman" w:hAnsi="Times New Roman" w:cs="Times New Roman"/>
          <w:b/>
          <w:bCs/>
          <w:sz w:val="20"/>
          <w:szCs w:val="20"/>
          <w:u w:val="single"/>
        </w:rPr>
        <w:lastRenderedPageBreak/>
        <w:t>ECC Decision (11)06</w:t>
      </w:r>
    </w:p>
    <w:p w14:paraId="3927E8EB" w14:textId="6D3908FA" w:rsidR="00EC09D6" w:rsidRDefault="007D28E5" w:rsidP="008D5F5A">
      <w:pPr>
        <w:rPr>
          <w:rFonts w:ascii="Times New Roman" w:hAnsi="Times New Roman" w:cs="Times New Roman"/>
          <w:i/>
          <w:iCs/>
          <w:sz w:val="20"/>
          <w:szCs w:val="20"/>
        </w:rPr>
      </w:pPr>
      <w:r>
        <w:rPr>
          <w:rFonts w:ascii="Times New Roman" w:hAnsi="Times New Roman" w:cs="Times New Roman"/>
          <w:sz w:val="20"/>
          <w:szCs w:val="20"/>
        </w:rPr>
        <w:t>E</w:t>
      </w:r>
      <w:r w:rsidR="0016587E">
        <w:rPr>
          <w:rFonts w:ascii="Times New Roman" w:hAnsi="Times New Roman" w:cs="Times New Roman"/>
          <w:sz w:val="20"/>
          <w:szCs w:val="20"/>
        </w:rPr>
        <w:t>CC Decision (11)06</w:t>
      </w:r>
      <w:r>
        <w:rPr>
          <w:rFonts w:ascii="Times New Roman" w:hAnsi="Times New Roman" w:cs="Times New Roman"/>
          <w:sz w:val="20"/>
          <w:szCs w:val="20"/>
        </w:rPr>
        <w:t>[2]</w:t>
      </w:r>
      <w:r w:rsidR="0016587E">
        <w:rPr>
          <w:rFonts w:ascii="Times New Roman" w:hAnsi="Times New Roman" w:cs="Times New Roman"/>
          <w:sz w:val="20"/>
          <w:szCs w:val="20"/>
        </w:rPr>
        <w:t xml:space="preserve"> </w:t>
      </w:r>
      <w:r w:rsidR="0016587E" w:rsidRPr="0016587E">
        <w:rPr>
          <w:rFonts w:ascii="Times New Roman" w:hAnsi="Times New Roman" w:cs="Times New Roman"/>
          <w:sz w:val="20"/>
          <w:szCs w:val="20"/>
        </w:rPr>
        <w:t>provides the harmonised conditions for Mobile/Fixed Communications Networks (MFCN) operating in the frequency band 3400-3800 MHz</w:t>
      </w:r>
      <w:r w:rsidR="00EC09D6">
        <w:rPr>
          <w:rFonts w:ascii="Times New Roman" w:hAnsi="Times New Roman" w:cs="Times New Roman"/>
          <w:sz w:val="20"/>
          <w:szCs w:val="20"/>
        </w:rPr>
        <w:t xml:space="preserve">, </w:t>
      </w:r>
      <w:r w:rsidR="00EC09D6" w:rsidRPr="00EC09D6">
        <w:rPr>
          <w:rFonts w:ascii="Times New Roman" w:hAnsi="Times New Roman" w:cs="Times New Roman"/>
          <w:i/>
          <w:iCs/>
          <w:sz w:val="20"/>
          <w:szCs w:val="20"/>
        </w:rPr>
        <w:t>considering</w:t>
      </w:r>
      <w:r>
        <w:rPr>
          <w:rFonts w:ascii="Times New Roman" w:hAnsi="Times New Roman" w:cs="Times New Roman"/>
          <w:i/>
          <w:iCs/>
          <w:sz w:val="20"/>
          <w:szCs w:val="20"/>
        </w:rPr>
        <w:t xml:space="preserve">: </w:t>
      </w:r>
    </w:p>
    <w:p w14:paraId="039BD3E8" w14:textId="529673A5" w:rsidR="007D28E5" w:rsidRDefault="007D28E5" w:rsidP="007D28E5">
      <w:pPr>
        <w:rPr>
          <w:rFonts w:ascii="Times New Roman" w:hAnsi="Times New Roman" w:cs="Times New Roman"/>
          <w:i/>
          <w:iCs/>
          <w:sz w:val="20"/>
          <w:szCs w:val="20"/>
        </w:rPr>
      </w:pPr>
      <w:r>
        <w:rPr>
          <w:rFonts w:ascii="Times New Roman" w:hAnsi="Times New Roman" w:cs="Times New Roman"/>
          <w:i/>
          <w:iCs/>
          <w:sz w:val="20"/>
          <w:szCs w:val="20"/>
        </w:rPr>
        <w:t>……</w:t>
      </w:r>
    </w:p>
    <w:p w14:paraId="5C476FD3" w14:textId="23D181D2" w:rsidR="004D6E4D" w:rsidRDefault="00EC09D6" w:rsidP="00EC09D6">
      <w:pPr>
        <w:ind w:left="566" w:hangingChars="283" w:hanging="566"/>
        <w:rPr>
          <w:rFonts w:ascii="Times New Roman" w:hAnsi="Times New Roman" w:cs="Times New Roman"/>
          <w:i/>
          <w:iCs/>
          <w:sz w:val="20"/>
          <w:szCs w:val="20"/>
        </w:rPr>
      </w:pPr>
      <w:r>
        <w:rPr>
          <w:rFonts w:ascii="Times New Roman" w:hAnsi="Times New Roman" w:cs="Times New Roman"/>
          <w:i/>
          <w:iCs/>
          <w:sz w:val="20"/>
          <w:szCs w:val="20"/>
        </w:rPr>
        <w:t>(ee)</w:t>
      </w:r>
      <w:r>
        <w:rPr>
          <w:rFonts w:ascii="Times New Roman" w:hAnsi="Times New Roman" w:cs="Times New Roman"/>
          <w:i/>
          <w:iCs/>
          <w:sz w:val="20"/>
          <w:szCs w:val="20"/>
        </w:rPr>
        <w:tab/>
      </w:r>
      <w:r w:rsidRPr="00EC09D6">
        <w:rPr>
          <w:rFonts w:ascii="Times New Roman" w:hAnsi="Times New Roman" w:cs="Times New Roman"/>
          <w:i/>
          <w:iCs/>
          <w:sz w:val="20"/>
          <w:szCs w:val="20"/>
        </w:rPr>
        <w:t>that in case of TDD MFCNs networks in the same geographical area, it may be beneficial to synchronise them (avoiding simultaneous uplink and downlink transmissions) in order to improve the efficient usage of spectrum by avoiding restricted blocks/guardbands between their networks</w:t>
      </w:r>
      <w:r>
        <w:rPr>
          <w:rFonts w:ascii="Times New Roman" w:hAnsi="Times New Roman" w:cs="Times New Roman"/>
          <w:i/>
          <w:iCs/>
          <w:sz w:val="20"/>
          <w:szCs w:val="20"/>
        </w:rPr>
        <w:t>.</w:t>
      </w:r>
    </w:p>
    <w:p w14:paraId="327D7AB5" w14:textId="48B1BB15" w:rsidR="007D28E5" w:rsidRDefault="007D28E5" w:rsidP="007D28E5">
      <w:pPr>
        <w:pStyle w:val="Default"/>
        <w:rPr>
          <w:rFonts w:ascii="Times New Roman" w:hAnsi="Times New Roman" w:cs="Times New Roman"/>
          <w:i/>
          <w:iCs/>
          <w:sz w:val="20"/>
          <w:szCs w:val="20"/>
        </w:rPr>
      </w:pPr>
      <w:r w:rsidRPr="007D28E5">
        <w:rPr>
          <w:rFonts w:ascii="Times New Roman" w:hAnsi="Times New Roman" w:cs="Times New Roman"/>
          <w:sz w:val="20"/>
          <w:szCs w:val="20"/>
        </w:rPr>
        <w:t xml:space="preserve">It </w:t>
      </w:r>
      <w:r>
        <w:rPr>
          <w:rFonts w:ascii="Times New Roman" w:hAnsi="Times New Roman" w:cs="Times New Roman"/>
          <w:i/>
          <w:iCs/>
          <w:sz w:val="20"/>
          <w:szCs w:val="20"/>
        </w:rPr>
        <w:t xml:space="preserve">DECIDES: </w:t>
      </w:r>
    </w:p>
    <w:p w14:paraId="1D9BB41D" w14:textId="1E4364BC" w:rsidR="007D28E5" w:rsidRDefault="007D28E5" w:rsidP="007D28E5">
      <w:pPr>
        <w:pStyle w:val="Default"/>
        <w:ind w:firstLine="420"/>
      </w:pPr>
      <w:r>
        <w:rPr>
          <w:rFonts w:ascii="Times New Roman" w:hAnsi="Times New Roman" w:cs="Times New Roman"/>
          <w:i/>
          <w:iCs/>
          <w:sz w:val="20"/>
          <w:szCs w:val="20"/>
        </w:rPr>
        <w:t>……</w:t>
      </w:r>
    </w:p>
    <w:p w14:paraId="04885253" w14:textId="30696F34" w:rsidR="007D28E5" w:rsidRPr="007D28E5" w:rsidRDefault="007D28E5" w:rsidP="007D28E5">
      <w:pPr>
        <w:pStyle w:val="Default"/>
        <w:ind w:leftChars="202" w:left="708" w:hangingChars="142" w:hanging="284"/>
        <w:rPr>
          <w:rFonts w:ascii="Times New Roman" w:hAnsi="Times New Roman" w:cs="Times New Roman"/>
          <w:i/>
          <w:iCs/>
          <w:color w:val="auto"/>
          <w:sz w:val="20"/>
          <w:szCs w:val="20"/>
        </w:rPr>
      </w:pPr>
      <w:r w:rsidRPr="007D28E5">
        <w:rPr>
          <w:rFonts w:ascii="Times New Roman" w:hAnsi="Times New Roman" w:cs="Times New Roman"/>
          <w:i/>
          <w:iCs/>
          <w:color w:val="auto"/>
          <w:sz w:val="20"/>
          <w:szCs w:val="20"/>
        </w:rPr>
        <w:t>2.</w:t>
      </w:r>
      <w:r>
        <w:rPr>
          <w:rFonts w:ascii="Times New Roman" w:hAnsi="Times New Roman" w:cs="Times New Roman"/>
          <w:i/>
          <w:iCs/>
          <w:color w:val="auto"/>
          <w:sz w:val="20"/>
          <w:szCs w:val="20"/>
        </w:rPr>
        <w:tab/>
      </w:r>
      <w:r w:rsidRPr="007D28E5">
        <w:rPr>
          <w:rFonts w:ascii="Times New Roman" w:hAnsi="Times New Roman" w:cs="Times New Roman"/>
          <w:i/>
          <w:iCs/>
          <w:color w:val="auto"/>
          <w:sz w:val="20"/>
          <w:szCs w:val="20"/>
        </w:rPr>
        <w:t>that administrations wishing to implement MFCN in the 3400-3800 MHz band should follow the frequency arrangement given in Annex 1;</w:t>
      </w:r>
    </w:p>
    <w:p w14:paraId="5E5B4B89" w14:textId="7CF23BBC" w:rsidR="007D28E5" w:rsidRDefault="007D28E5" w:rsidP="007D28E5">
      <w:pPr>
        <w:pStyle w:val="Default"/>
        <w:ind w:leftChars="202" w:left="708" w:hangingChars="142" w:hanging="284"/>
        <w:rPr>
          <w:rFonts w:ascii="Times New Roman" w:hAnsi="Times New Roman" w:cs="Times New Roman"/>
          <w:i/>
          <w:iCs/>
          <w:color w:val="auto"/>
          <w:sz w:val="20"/>
          <w:szCs w:val="20"/>
        </w:rPr>
      </w:pPr>
      <w:r w:rsidRPr="007D28E5">
        <w:rPr>
          <w:rFonts w:ascii="Times New Roman" w:hAnsi="Times New Roman" w:cs="Times New Roman"/>
          <w:i/>
          <w:iCs/>
          <w:color w:val="auto"/>
          <w:sz w:val="20"/>
          <w:szCs w:val="20"/>
        </w:rPr>
        <w:t>3.</w:t>
      </w:r>
      <w:r>
        <w:rPr>
          <w:rFonts w:ascii="Times New Roman" w:hAnsi="Times New Roman" w:cs="Times New Roman"/>
          <w:i/>
          <w:iCs/>
          <w:color w:val="auto"/>
          <w:sz w:val="20"/>
          <w:szCs w:val="20"/>
        </w:rPr>
        <w:tab/>
      </w:r>
      <w:r w:rsidRPr="007D28E5">
        <w:rPr>
          <w:rFonts w:ascii="Times New Roman" w:hAnsi="Times New Roman" w:cs="Times New Roman"/>
          <w:i/>
          <w:iCs/>
          <w:color w:val="auto"/>
          <w:sz w:val="20"/>
          <w:szCs w:val="20"/>
        </w:rPr>
        <w:t>that administrations wishing to implement MFCN in the 3400-3800 MHz band should follow the least restrictive technical conditions suitable for MFCN, given in Annex 2;</w:t>
      </w:r>
    </w:p>
    <w:p w14:paraId="73EA9008" w14:textId="6D42A497" w:rsidR="004947FA" w:rsidRPr="004947FA" w:rsidRDefault="004947FA" w:rsidP="004947FA">
      <w:pPr>
        <w:rPr>
          <w:rFonts w:ascii="Times New Roman" w:hAnsi="Times New Roman" w:cs="Times New Roman"/>
          <w:sz w:val="20"/>
          <w:szCs w:val="20"/>
        </w:rPr>
      </w:pPr>
      <w:r w:rsidRPr="004947FA">
        <w:rPr>
          <w:rFonts w:ascii="Times New Roman" w:hAnsi="Times New Roman" w:cs="Times New Roman"/>
          <w:sz w:val="20"/>
          <w:szCs w:val="20"/>
        </w:rPr>
        <w:t xml:space="preserve">The least restrictive technical conditions defined in </w:t>
      </w:r>
      <w:r>
        <w:rPr>
          <w:rFonts w:ascii="Times New Roman" w:hAnsi="Times New Roman" w:cs="Times New Roman"/>
          <w:sz w:val="20"/>
          <w:szCs w:val="20"/>
        </w:rPr>
        <w:t>A</w:t>
      </w:r>
      <w:r w:rsidRPr="004947FA">
        <w:rPr>
          <w:rFonts w:ascii="Times New Roman" w:hAnsi="Times New Roman" w:cs="Times New Roman"/>
          <w:sz w:val="20"/>
          <w:szCs w:val="20"/>
        </w:rPr>
        <w:t>nnex</w:t>
      </w:r>
      <w:r>
        <w:rPr>
          <w:rFonts w:ascii="Times New Roman" w:hAnsi="Times New Roman" w:cs="Times New Roman"/>
          <w:sz w:val="20"/>
          <w:szCs w:val="20"/>
        </w:rPr>
        <w:t xml:space="preserve"> 2</w:t>
      </w:r>
      <w:r w:rsidRPr="004947FA">
        <w:rPr>
          <w:rFonts w:ascii="Times New Roman" w:hAnsi="Times New Roman" w:cs="Times New Roman"/>
          <w:sz w:val="20"/>
          <w:szCs w:val="20"/>
        </w:rPr>
        <w:t xml:space="preserve"> are in the form of block-edge masks (BEMs)</w:t>
      </w:r>
      <w:r>
        <w:rPr>
          <w:rFonts w:ascii="Times New Roman" w:hAnsi="Times New Roman" w:cs="Times New Roman"/>
          <w:sz w:val="20"/>
          <w:szCs w:val="20"/>
        </w:rPr>
        <w:t xml:space="preserve"> including baselines limits for synchronised </w:t>
      </w:r>
      <w:r w:rsidRPr="004947FA">
        <w:rPr>
          <w:rFonts w:ascii="Times New Roman" w:hAnsi="Times New Roman" w:cs="Times New Roman"/>
          <w:sz w:val="20"/>
          <w:szCs w:val="20"/>
        </w:rPr>
        <w:t xml:space="preserve">MFCN networks </w:t>
      </w:r>
      <w:r>
        <w:rPr>
          <w:rFonts w:ascii="Times New Roman" w:hAnsi="Times New Roman" w:cs="Times New Roman"/>
          <w:sz w:val="20"/>
          <w:szCs w:val="20"/>
        </w:rPr>
        <w:t xml:space="preserve">and restricted limits for unsynchronised and semi-synchronised </w:t>
      </w:r>
      <w:r>
        <w:rPr>
          <w:rFonts w:ascii="Times New Roman" w:hAnsi="Times New Roman" w:cs="Times New Roman" w:hint="eastAsia"/>
          <w:sz w:val="20"/>
          <w:szCs w:val="20"/>
        </w:rPr>
        <w:t>MFCN</w:t>
      </w:r>
      <w:r>
        <w:rPr>
          <w:rFonts w:ascii="Times New Roman" w:hAnsi="Times New Roman" w:cs="Times New Roman"/>
          <w:sz w:val="20"/>
          <w:szCs w:val="20"/>
        </w:rPr>
        <w:t xml:space="preserve"> networks </w:t>
      </w:r>
      <w:r>
        <w:rPr>
          <w:rFonts w:ascii="Times New Roman" w:hAnsi="Times New Roman" w:cs="Times New Roman" w:hint="eastAsia"/>
          <w:sz w:val="20"/>
          <w:szCs w:val="20"/>
        </w:rPr>
        <w:t>to</w:t>
      </w:r>
      <w:r>
        <w:rPr>
          <w:rFonts w:ascii="Times New Roman" w:hAnsi="Times New Roman" w:cs="Times New Roman"/>
          <w:sz w:val="20"/>
          <w:szCs w:val="20"/>
        </w:rPr>
        <w:t xml:space="preserve"> </w:t>
      </w:r>
      <w:r w:rsidRPr="004947FA">
        <w:rPr>
          <w:rFonts w:ascii="Times New Roman" w:hAnsi="Times New Roman" w:cs="Times New Roman"/>
          <w:sz w:val="20"/>
          <w:szCs w:val="20"/>
        </w:rPr>
        <w:t>allow coexistence between MFCN applications in the 3400-3800 MHz band</w:t>
      </w:r>
      <w:r>
        <w:rPr>
          <w:rFonts w:ascii="Times New Roman" w:hAnsi="Times New Roman" w:cs="Times New Roman"/>
          <w:sz w:val="20"/>
          <w:szCs w:val="20"/>
        </w:rPr>
        <w:t>.</w:t>
      </w:r>
    </w:p>
    <w:p w14:paraId="4BE7F9F4" w14:textId="43C7CEDD" w:rsidR="00B53E3D" w:rsidRPr="00B53E3D" w:rsidRDefault="00B53E3D" w:rsidP="0024268D">
      <w:pPr>
        <w:ind w:left="1"/>
        <w:rPr>
          <w:rFonts w:ascii="Times New Roman" w:hAnsi="Times New Roman" w:cs="Times New Roman"/>
          <w:b/>
          <w:bCs/>
          <w:sz w:val="20"/>
          <w:szCs w:val="20"/>
          <w:u w:val="single"/>
        </w:rPr>
      </w:pPr>
      <w:r w:rsidRPr="00B53E3D">
        <w:rPr>
          <w:rFonts w:ascii="Times New Roman" w:hAnsi="Times New Roman" w:cs="Times New Roman"/>
          <w:b/>
          <w:bCs/>
          <w:sz w:val="20"/>
          <w:szCs w:val="20"/>
          <w:u w:val="single"/>
        </w:rPr>
        <w:t>ECC Recommendation (15)0</w:t>
      </w:r>
      <w:r w:rsidR="006A3D7B">
        <w:rPr>
          <w:rFonts w:ascii="Times New Roman" w:hAnsi="Times New Roman" w:cs="Times New Roman"/>
          <w:b/>
          <w:bCs/>
          <w:sz w:val="20"/>
          <w:szCs w:val="20"/>
          <w:u w:val="single"/>
        </w:rPr>
        <w:t>1</w:t>
      </w:r>
    </w:p>
    <w:p w14:paraId="4420D393" w14:textId="5142CF7B" w:rsidR="00B53E3D" w:rsidRDefault="007D28E5" w:rsidP="0024268D">
      <w:pPr>
        <w:ind w:left="1"/>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nder the umbrella of ECC</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Decision (11)06, </w:t>
      </w:r>
      <w:r w:rsidRPr="007D28E5">
        <w:rPr>
          <w:rFonts w:ascii="Times New Roman" w:hAnsi="Times New Roman" w:cs="Times New Roman"/>
          <w:sz w:val="20"/>
          <w:szCs w:val="20"/>
        </w:rPr>
        <w:t>ECC Recommendation (15)01</w:t>
      </w:r>
      <w:r>
        <w:rPr>
          <w:rFonts w:ascii="Times New Roman" w:hAnsi="Times New Roman" w:cs="Times New Roman"/>
          <w:sz w:val="20"/>
          <w:szCs w:val="20"/>
        </w:rPr>
        <w:t>[3]</w:t>
      </w:r>
      <w:r w:rsidR="008040D5">
        <w:rPr>
          <w:rFonts w:ascii="Times New Roman" w:hAnsi="Times New Roman" w:cs="Times New Roman"/>
          <w:sz w:val="20"/>
          <w:szCs w:val="20"/>
        </w:rPr>
        <w:t xml:space="preserve"> provides </w:t>
      </w:r>
      <w:r w:rsidR="008040D5" w:rsidRPr="008040D5">
        <w:rPr>
          <w:rFonts w:ascii="Times New Roman" w:hAnsi="Times New Roman" w:cs="Times New Roman"/>
          <w:sz w:val="20"/>
          <w:szCs w:val="20"/>
        </w:rPr>
        <w:t>guidance in case of synchronised and unsynchronised MFCN TDD systems operation in the 3400-3800 MHz frequency band.</w:t>
      </w:r>
      <w:r w:rsidR="0024268D">
        <w:rPr>
          <w:rFonts w:ascii="Times New Roman" w:hAnsi="Times New Roman" w:cs="Times New Roman"/>
          <w:sz w:val="20"/>
          <w:szCs w:val="20"/>
        </w:rPr>
        <w:t xml:space="preserve"> </w:t>
      </w:r>
      <w:r w:rsidR="00B53E3D">
        <w:rPr>
          <w:rFonts w:ascii="Times New Roman" w:hAnsi="Times New Roman" w:cs="Times New Roman"/>
          <w:sz w:val="20"/>
          <w:szCs w:val="20"/>
        </w:rPr>
        <w:t xml:space="preserve">It </w:t>
      </w:r>
      <w:r w:rsidR="00B53E3D" w:rsidRPr="00B53E3D">
        <w:rPr>
          <w:rFonts w:ascii="Times New Roman" w:hAnsi="Times New Roman" w:cs="Times New Roman"/>
          <w:i/>
          <w:iCs/>
          <w:sz w:val="20"/>
          <w:szCs w:val="20"/>
        </w:rPr>
        <w:t>recommends</w:t>
      </w:r>
      <w:r w:rsidR="00B53E3D">
        <w:rPr>
          <w:rFonts w:ascii="Times New Roman" w:hAnsi="Times New Roman" w:cs="Times New Roman"/>
          <w:i/>
          <w:iCs/>
          <w:sz w:val="20"/>
          <w:szCs w:val="20"/>
        </w:rPr>
        <w:t>:</w:t>
      </w:r>
    </w:p>
    <w:p w14:paraId="4EAB588E" w14:textId="77777777" w:rsidR="00B53E3D" w:rsidRDefault="00B53E3D" w:rsidP="00B53E3D">
      <w:pPr>
        <w:ind w:left="426" w:hangingChars="213" w:hanging="426"/>
        <w:rPr>
          <w:rFonts w:ascii="Times New Roman" w:hAnsi="Times New Roman" w:cs="Times New Roman"/>
          <w:i/>
          <w:iCs/>
          <w:sz w:val="20"/>
          <w:szCs w:val="20"/>
        </w:rPr>
      </w:pPr>
      <w:r>
        <w:rPr>
          <w:rFonts w:ascii="Times New Roman" w:hAnsi="Times New Roman" w:cs="Times New Roman"/>
          <w:i/>
          <w:iCs/>
          <w:sz w:val="20"/>
          <w:szCs w:val="20"/>
        </w:rPr>
        <w:t>……</w:t>
      </w:r>
    </w:p>
    <w:p w14:paraId="3A6190A2" w14:textId="13841F24" w:rsidR="00B53E3D" w:rsidRPr="0024268D" w:rsidRDefault="00B53E3D" w:rsidP="00B53E3D">
      <w:pPr>
        <w:ind w:left="426" w:hangingChars="213" w:hanging="426"/>
        <w:rPr>
          <w:rFonts w:ascii="Times New Roman" w:hAnsi="Times New Roman" w:cs="Times New Roman"/>
          <w:i/>
          <w:iCs/>
          <w:sz w:val="20"/>
          <w:szCs w:val="20"/>
        </w:rPr>
      </w:pPr>
      <w:r w:rsidRPr="0024268D">
        <w:rPr>
          <w:rFonts w:ascii="Times New Roman" w:hAnsi="Times New Roman" w:cs="Times New Roman"/>
          <w:i/>
          <w:iCs/>
          <w:sz w:val="20"/>
          <w:szCs w:val="20"/>
        </w:rPr>
        <w:t>2.</w:t>
      </w:r>
      <w:r w:rsidRPr="0024268D">
        <w:rPr>
          <w:rFonts w:ascii="Times New Roman" w:hAnsi="Times New Roman" w:cs="Times New Roman"/>
          <w:i/>
          <w:iCs/>
          <w:sz w:val="20"/>
          <w:szCs w:val="20"/>
        </w:rPr>
        <w:tab/>
        <w:t>that in case of MFCN TDD systems in the 3400-3800 MHz frequency band, administrations should preferably facilitate synchronised networks based on the guidance given in Annex 5, where possible, for efficient usage of the spectrum in border areas;</w:t>
      </w:r>
    </w:p>
    <w:p w14:paraId="51026B85" w14:textId="77777777" w:rsidR="00B53E3D" w:rsidRDefault="00B53E3D" w:rsidP="006A3D7B">
      <w:pPr>
        <w:ind w:left="426" w:hangingChars="213" w:hanging="426"/>
        <w:rPr>
          <w:rFonts w:ascii="Times New Roman" w:hAnsi="Times New Roman" w:cs="Times New Roman"/>
          <w:i/>
          <w:iCs/>
          <w:sz w:val="20"/>
          <w:szCs w:val="20"/>
        </w:rPr>
      </w:pPr>
      <w:r w:rsidRPr="0024268D">
        <w:rPr>
          <w:rFonts w:ascii="Times New Roman" w:hAnsi="Times New Roman" w:cs="Times New Roman"/>
          <w:i/>
          <w:iCs/>
          <w:sz w:val="20"/>
          <w:szCs w:val="20"/>
        </w:rPr>
        <w:t>3.</w:t>
      </w:r>
      <w:r w:rsidRPr="0024268D">
        <w:rPr>
          <w:rFonts w:ascii="Times New Roman" w:hAnsi="Times New Roman" w:cs="Times New Roman"/>
          <w:i/>
          <w:iCs/>
          <w:sz w:val="20"/>
          <w:szCs w:val="20"/>
        </w:rPr>
        <w:tab/>
        <w:t>that in case of MFCN TDD systems in the 3400-3800 MHz frequency band, administrations should preferably facilitate implementation of the frame structures recommended in ECC Recommendation (20)03 Annex 1 [4] in order to facilitate synchronisation and to implement Downlink Symbol Blanking (DSB) in border areas for efficient use of spectrum;</w:t>
      </w:r>
    </w:p>
    <w:p w14:paraId="0E95E3EE" w14:textId="2AED0E7E" w:rsidR="00B53E3D" w:rsidRDefault="00B53E3D" w:rsidP="00B53E3D">
      <w:pPr>
        <w:ind w:left="1"/>
        <w:rPr>
          <w:rFonts w:ascii="Times New Roman" w:hAnsi="Times New Roman" w:cs="Times New Roman"/>
          <w:i/>
          <w:iCs/>
          <w:sz w:val="20"/>
          <w:szCs w:val="20"/>
        </w:rPr>
      </w:pPr>
      <w:r>
        <w:rPr>
          <w:rFonts w:ascii="Times New Roman" w:hAnsi="Times New Roman" w:cs="Times New Roman"/>
          <w:i/>
          <w:iCs/>
          <w:sz w:val="20"/>
          <w:szCs w:val="20"/>
        </w:rPr>
        <w:t>……</w:t>
      </w:r>
    </w:p>
    <w:p w14:paraId="376E0B9D" w14:textId="017E5778" w:rsidR="007D28E5" w:rsidRDefault="0024268D" w:rsidP="00B53E3D">
      <w:pPr>
        <w:ind w:left="1"/>
        <w:rPr>
          <w:rFonts w:ascii="Times New Roman" w:hAnsi="Times New Roman" w:cs="Times New Roman"/>
          <w:sz w:val="20"/>
          <w:szCs w:val="20"/>
        </w:rPr>
      </w:pPr>
      <w:r>
        <w:rPr>
          <w:rFonts w:ascii="Times New Roman" w:hAnsi="Times New Roman" w:cs="Times New Roman"/>
          <w:sz w:val="20"/>
          <w:szCs w:val="20"/>
        </w:rPr>
        <w:t xml:space="preserve">The Annex 5 of this Recommendation provides </w:t>
      </w:r>
      <w:r w:rsidRPr="0024268D">
        <w:rPr>
          <w:rFonts w:ascii="Times New Roman" w:hAnsi="Times New Roman" w:cs="Times New Roman"/>
          <w:sz w:val="20"/>
          <w:szCs w:val="20"/>
        </w:rPr>
        <w:t>a toolbox to help administrations in cross-border situations for synchronised and unsynchronised operation.</w:t>
      </w:r>
      <w:r>
        <w:rPr>
          <w:rFonts w:ascii="Times New Roman" w:hAnsi="Times New Roman" w:cs="Times New Roman"/>
          <w:sz w:val="20"/>
          <w:szCs w:val="20"/>
        </w:rPr>
        <w:t xml:space="preserve"> For synchronised operation, it is r</w:t>
      </w:r>
      <w:r w:rsidRPr="0024268D">
        <w:rPr>
          <w:rFonts w:ascii="Times New Roman" w:hAnsi="Times New Roman" w:cs="Times New Roman"/>
          <w:sz w:val="20"/>
          <w:szCs w:val="20"/>
        </w:rPr>
        <w:t>equire</w:t>
      </w:r>
      <w:r>
        <w:rPr>
          <w:rFonts w:ascii="Times New Roman" w:hAnsi="Times New Roman" w:cs="Times New Roman"/>
          <w:sz w:val="20"/>
          <w:szCs w:val="20"/>
        </w:rPr>
        <w:t>d</w:t>
      </w:r>
      <w:r w:rsidRPr="0024268D">
        <w:rPr>
          <w:rFonts w:ascii="Times New Roman" w:hAnsi="Times New Roman" w:cs="Times New Roman"/>
          <w:sz w:val="20"/>
          <w:szCs w:val="20"/>
        </w:rPr>
        <w:t xml:space="preserve"> all operators to agree on the same reference clock and on a compatible frame structure.</w:t>
      </w:r>
      <w:r>
        <w:rPr>
          <w:rFonts w:ascii="Times New Roman" w:hAnsi="Times New Roman" w:cs="Times New Roman"/>
          <w:sz w:val="20"/>
          <w:szCs w:val="20"/>
        </w:rPr>
        <w:t xml:space="preserve"> </w:t>
      </w:r>
      <w:r w:rsidRPr="0024268D">
        <w:rPr>
          <w:rFonts w:ascii="Times New Roman" w:hAnsi="Times New Roman" w:cs="Times New Roman"/>
          <w:sz w:val="20"/>
          <w:szCs w:val="20"/>
        </w:rPr>
        <w:t>In neighbouring countries where there is no need to ensure coexistence with LTE, the example of NR frames given in Table 1</w:t>
      </w:r>
      <w:r>
        <w:rPr>
          <w:rFonts w:ascii="Times New Roman" w:hAnsi="Times New Roman" w:cs="Times New Roman"/>
          <w:sz w:val="20"/>
          <w:szCs w:val="20"/>
        </w:rPr>
        <w:t xml:space="preserve"> </w:t>
      </w:r>
      <w:r w:rsidRPr="0024268D">
        <w:rPr>
          <w:rFonts w:ascii="Times New Roman" w:hAnsi="Times New Roman" w:cs="Times New Roman"/>
          <w:sz w:val="20"/>
          <w:szCs w:val="20"/>
        </w:rPr>
        <w:t>may be used.</w:t>
      </w:r>
      <w:r>
        <w:rPr>
          <w:rFonts w:ascii="Times New Roman" w:hAnsi="Times New Roman" w:cs="Times New Roman"/>
          <w:sz w:val="20"/>
          <w:szCs w:val="20"/>
        </w:rPr>
        <w:t xml:space="preserve"> </w:t>
      </w:r>
    </w:p>
    <w:p w14:paraId="51864DA6" w14:textId="5E75CEF7" w:rsidR="0024268D" w:rsidRPr="0024268D" w:rsidRDefault="0024268D" w:rsidP="0024268D">
      <w:pPr>
        <w:pStyle w:val="TAC"/>
        <w:rPr>
          <w:b/>
          <w:lang w:val="en-US"/>
        </w:rPr>
      </w:pPr>
      <w:r w:rsidRPr="0024268D">
        <w:rPr>
          <w:b/>
          <w:lang w:val="en-US"/>
        </w:rPr>
        <w:t>Table 1: Examples of NR frame structures</w:t>
      </w:r>
      <w:r w:rsidR="001462F9">
        <w:rPr>
          <w:b/>
          <w:lang w:val="en-US"/>
        </w:rPr>
        <w:t xml:space="preserve"> in ECC Recommendation (15)01</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bottom w:w="11" w:type="dxa"/>
        </w:tblCellMar>
        <w:tblLook w:val="01E0" w:firstRow="1" w:lastRow="1" w:firstColumn="1" w:lastColumn="1" w:noHBand="0" w:noVBand="0"/>
      </w:tblPr>
      <w:tblGrid>
        <w:gridCol w:w="1559"/>
        <w:gridCol w:w="1843"/>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75"/>
      </w:tblGrid>
      <w:tr w:rsidR="00466C1D" w:rsidRPr="001F2C7F" w14:paraId="78386577" w14:textId="77777777" w:rsidTr="009F0F19">
        <w:trPr>
          <w:tblHeader/>
          <w:jc w:val="center"/>
        </w:trPr>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05CDCB1F" w14:textId="77777777" w:rsidR="00466C1D" w:rsidRPr="001F2C7F" w:rsidRDefault="00466C1D" w:rsidP="009F0F19">
            <w:pPr>
              <w:pStyle w:val="ECCTableHeaderwhitefont"/>
              <w:rPr>
                <w:rStyle w:val="ECCHLbold"/>
              </w:rPr>
            </w:pPr>
            <w:r w:rsidRPr="001F2C7F">
              <w:rPr>
                <w:rStyle w:val="ECCHLbold"/>
              </w:rPr>
              <w:t>Frame structure</w:t>
            </w:r>
          </w:p>
        </w:tc>
        <w:tc>
          <w:tcPr>
            <w:tcW w:w="5661" w:type="dxa"/>
            <w:gridSpan w:val="20"/>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42F626B9" w14:textId="77777777" w:rsidR="00466C1D" w:rsidRPr="001F2C7F" w:rsidRDefault="00466C1D" w:rsidP="009F0F19">
            <w:pPr>
              <w:pStyle w:val="ECCTableHeaderwhitefont"/>
              <w:rPr>
                <w:rStyle w:val="ECCHLbold"/>
              </w:rPr>
            </w:pPr>
            <w:r w:rsidRPr="001F2C7F">
              <w:rPr>
                <w:rStyle w:val="ECCHLbold"/>
              </w:rPr>
              <w:t>Subframe number</w:t>
            </w:r>
          </w:p>
        </w:tc>
      </w:tr>
      <w:tr w:rsidR="00466C1D" w:rsidRPr="001F2C7F" w14:paraId="16C9B8D1" w14:textId="77777777" w:rsidTr="009F0F19">
        <w:trPr>
          <w:tblHeader/>
          <w:jc w:val="center"/>
        </w:trPr>
        <w:tc>
          <w:tcPr>
            <w:tcW w:w="340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26997367" w14:textId="77777777" w:rsidR="00466C1D" w:rsidRPr="001F2C7F" w:rsidRDefault="00466C1D" w:rsidP="009F0F19">
            <w:pPr>
              <w:pStyle w:val="ECCTableHeaderwhitefont"/>
              <w:rPr>
                <w:rStyle w:val="ECCHLbold"/>
              </w:rPr>
            </w:pP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67ED02EB" w14:textId="77777777" w:rsidR="00466C1D" w:rsidRPr="001F2C7F" w:rsidRDefault="00466C1D" w:rsidP="009F0F19">
            <w:pPr>
              <w:pStyle w:val="ECCTableHeaderwhitefont"/>
              <w:rPr>
                <w:rStyle w:val="ECCHLbold"/>
              </w:rPr>
            </w:pPr>
            <w:r w:rsidRPr="001F2C7F">
              <w:rPr>
                <w:rStyle w:val="ECCHLbold"/>
              </w:rPr>
              <w:t>0</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0A95DCAC" w14:textId="77777777" w:rsidR="00466C1D" w:rsidRPr="001F2C7F" w:rsidRDefault="00466C1D" w:rsidP="009F0F19">
            <w:pPr>
              <w:pStyle w:val="ECCTableHeaderwhitefont"/>
              <w:rPr>
                <w:rStyle w:val="ECCHLbold"/>
              </w:rPr>
            </w:pPr>
            <w:r w:rsidRPr="001F2C7F">
              <w:rPr>
                <w:rStyle w:val="ECCHLbold"/>
              </w:rPr>
              <w:t>1</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323F6A28" w14:textId="77777777" w:rsidR="00466C1D" w:rsidRPr="001F2C7F" w:rsidRDefault="00466C1D" w:rsidP="009F0F19">
            <w:pPr>
              <w:pStyle w:val="ECCTableHeaderwhitefont"/>
              <w:rPr>
                <w:rStyle w:val="ECCHLbold"/>
              </w:rPr>
            </w:pPr>
            <w:r w:rsidRPr="001F2C7F">
              <w:rPr>
                <w:rStyle w:val="ECCHLbold"/>
              </w:rPr>
              <w:t>2</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45D858CC" w14:textId="77777777" w:rsidR="00466C1D" w:rsidRPr="001F2C7F" w:rsidRDefault="00466C1D" w:rsidP="009F0F19">
            <w:pPr>
              <w:pStyle w:val="ECCTableHeaderwhitefont"/>
              <w:rPr>
                <w:rStyle w:val="ECCHLbold"/>
              </w:rPr>
            </w:pPr>
            <w:r w:rsidRPr="001F2C7F">
              <w:rPr>
                <w:rStyle w:val="ECCHLbold"/>
              </w:rPr>
              <w:t>3</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17D362E7" w14:textId="77777777" w:rsidR="00466C1D" w:rsidRPr="001F2C7F" w:rsidRDefault="00466C1D" w:rsidP="009F0F19">
            <w:pPr>
              <w:pStyle w:val="ECCTableHeaderwhitefont"/>
              <w:rPr>
                <w:rStyle w:val="ECCHLbold"/>
              </w:rPr>
            </w:pPr>
            <w:r w:rsidRPr="001F2C7F">
              <w:rPr>
                <w:rStyle w:val="ECCHLbold"/>
              </w:rPr>
              <w:t>4</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2385F4C3" w14:textId="77777777" w:rsidR="00466C1D" w:rsidRPr="001F2C7F" w:rsidRDefault="00466C1D" w:rsidP="009F0F19">
            <w:pPr>
              <w:pStyle w:val="ECCTableHeaderwhitefont"/>
              <w:rPr>
                <w:rStyle w:val="ECCHLbold"/>
              </w:rPr>
            </w:pPr>
            <w:r w:rsidRPr="001F2C7F">
              <w:rPr>
                <w:rStyle w:val="ECCHLbold"/>
              </w:rPr>
              <w:t>5</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650BA332" w14:textId="77777777" w:rsidR="00466C1D" w:rsidRPr="001F2C7F" w:rsidRDefault="00466C1D" w:rsidP="009F0F19">
            <w:pPr>
              <w:pStyle w:val="ECCTableHeaderwhitefont"/>
              <w:rPr>
                <w:rStyle w:val="ECCHLbold"/>
              </w:rPr>
            </w:pPr>
            <w:r w:rsidRPr="001F2C7F">
              <w:rPr>
                <w:rStyle w:val="ECCHLbold"/>
              </w:rPr>
              <w:t>6</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0A80A483" w14:textId="77777777" w:rsidR="00466C1D" w:rsidRPr="001F2C7F" w:rsidRDefault="00466C1D" w:rsidP="009F0F19">
            <w:pPr>
              <w:pStyle w:val="ECCTableHeaderwhitefont"/>
              <w:rPr>
                <w:rStyle w:val="ECCHLbold"/>
              </w:rPr>
            </w:pPr>
            <w:r w:rsidRPr="001F2C7F">
              <w:rPr>
                <w:rStyle w:val="ECCHLbold"/>
              </w:rPr>
              <w:t>7</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0433E5EC" w14:textId="77777777" w:rsidR="00466C1D" w:rsidRPr="001F2C7F" w:rsidRDefault="00466C1D" w:rsidP="009F0F19">
            <w:pPr>
              <w:pStyle w:val="ECCTableHeaderwhitefont"/>
              <w:rPr>
                <w:rStyle w:val="ECCHLbold"/>
              </w:rPr>
            </w:pPr>
            <w:r w:rsidRPr="001F2C7F">
              <w:rPr>
                <w:rStyle w:val="ECCHLbold"/>
              </w:rPr>
              <w:t>8</w:t>
            </w:r>
          </w:p>
        </w:tc>
        <w:tc>
          <w:tcPr>
            <w:tcW w:w="55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2232A"/>
            <w:vAlign w:val="center"/>
          </w:tcPr>
          <w:p w14:paraId="56084847" w14:textId="77777777" w:rsidR="00466C1D" w:rsidRPr="001F2C7F" w:rsidRDefault="00466C1D" w:rsidP="009F0F19">
            <w:pPr>
              <w:pStyle w:val="ECCTableHeaderwhitefont"/>
              <w:rPr>
                <w:rStyle w:val="ECCHLbold"/>
              </w:rPr>
            </w:pPr>
            <w:r w:rsidRPr="001F2C7F">
              <w:rPr>
                <w:rStyle w:val="ECCHLbold"/>
              </w:rPr>
              <w:t>9</w:t>
            </w:r>
          </w:p>
        </w:tc>
      </w:tr>
      <w:tr w:rsidR="00466C1D" w:rsidRPr="001F2C7F" w14:paraId="47DF1EAE" w14:textId="77777777" w:rsidTr="009F0F19">
        <w:trPr>
          <w:jc w:val="center"/>
        </w:trPr>
        <w:tc>
          <w:tcPr>
            <w:tcW w:w="1559" w:type="dxa"/>
            <w:tcBorders>
              <w:top w:val="single" w:sz="4" w:space="0" w:color="FFFFFF" w:themeColor="background1"/>
              <w:left w:val="single" w:sz="4" w:space="0" w:color="D2232A"/>
              <w:bottom w:val="single" w:sz="4" w:space="0" w:color="D2232A"/>
              <w:right w:val="single" w:sz="4" w:space="0" w:color="D2232A"/>
            </w:tcBorders>
            <w:vAlign w:val="center"/>
          </w:tcPr>
          <w:p w14:paraId="53C3E86A" w14:textId="77777777" w:rsidR="00466C1D" w:rsidRPr="001F2C7F" w:rsidRDefault="00466C1D" w:rsidP="009F0F19">
            <w:pPr>
              <w:pStyle w:val="ECCTabletext"/>
              <w:jc w:val="left"/>
            </w:pPr>
            <w:r w:rsidRPr="001F2C7F">
              <w:t>NR frame (SCS 30 kHz)</w:t>
            </w:r>
          </w:p>
        </w:tc>
        <w:tc>
          <w:tcPr>
            <w:tcW w:w="1843" w:type="dxa"/>
            <w:tcBorders>
              <w:top w:val="single" w:sz="4" w:space="0" w:color="FFFFFF" w:themeColor="background1"/>
              <w:left w:val="single" w:sz="4" w:space="0" w:color="D2232A"/>
              <w:bottom w:val="single" w:sz="4" w:space="0" w:color="D2232A"/>
              <w:right w:val="single" w:sz="4" w:space="0" w:color="D2232A"/>
            </w:tcBorders>
            <w:vAlign w:val="center"/>
          </w:tcPr>
          <w:p w14:paraId="1DB81715" w14:textId="77777777" w:rsidR="00466C1D" w:rsidRPr="001F2C7F" w:rsidRDefault="00466C1D" w:rsidP="009F0F19">
            <w:pPr>
              <w:pStyle w:val="ECCTabletext"/>
              <w:jc w:val="center"/>
            </w:pPr>
            <w:r w:rsidRPr="001F2C7F">
              <w:t>DDSU</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3A5A3BAC" w14:textId="77777777" w:rsidR="00466C1D" w:rsidRPr="001F2C7F" w:rsidRDefault="00466C1D" w:rsidP="009F0F19">
            <w:pPr>
              <w:pStyle w:val="ECCTabletext"/>
            </w:pPr>
            <w:r w:rsidRPr="001F2C7F">
              <w:t>D</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32B0146B" w14:textId="77777777" w:rsidR="00466C1D" w:rsidRPr="001F2C7F" w:rsidRDefault="00466C1D" w:rsidP="009F0F19">
            <w:pPr>
              <w:pStyle w:val="ECCTabletext"/>
            </w:pPr>
            <w:r w:rsidRPr="001F2C7F">
              <w:t>D</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280C2C08" w14:textId="77777777" w:rsidR="00466C1D" w:rsidRPr="001F2C7F" w:rsidRDefault="00466C1D" w:rsidP="009F0F19">
            <w:pPr>
              <w:pStyle w:val="ECCTabletext"/>
            </w:pPr>
            <w:r w:rsidRPr="001F2C7F">
              <w:t>S</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7601FC9B" w14:textId="77777777" w:rsidR="00466C1D" w:rsidRPr="001F2C7F" w:rsidRDefault="00466C1D" w:rsidP="009F0F19">
            <w:pPr>
              <w:pStyle w:val="ECCTabletext"/>
            </w:pPr>
            <w:r w:rsidRPr="001F2C7F">
              <w:t>U</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4544AE02" w14:textId="77777777" w:rsidR="00466C1D" w:rsidRPr="001F2C7F" w:rsidRDefault="00466C1D" w:rsidP="009F0F19">
            <w:pPr>
              <w:pStyle w:val="ECCTabletext"/>
            </w:pPr>
            <w:r w:rsidRPr="001F2C7F">
              <w:t>D</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76D46B8C" w14:textId="77777777" w:rsidR="00466C1D" w:rsidRPr="001F2C7F" w:rsidRDefault="00466C1D" w:rsidP="009F0F19">
            <w:pPr>
              <w:pStyle w:val="ECCTabletext"/>
            </w:pPr>
            <w:r w:rsidRPr="001F2C7F">
              <w:t>D</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4E2EDE7B" w14:textId="77777777" w:rsidR="00466C1D" w:rsidRPr="001F2C7F" w:rsidRDefault="00466C1D" w:rsidP="009F0F19">
            <w:pPr>
              <w:pStyle w:val="ECCTabletext"/>
            </w:pPr>
            <w:r w:rsidRPr="001F2C7F">
              <w:t>S</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771A0200" w14:textId="77777777" w:rsidR="00466C1D" w:rsidRPr="001F2C7F" w:rsidRDefault="00466C1D" w:rsidP="009F0F19">
            <w:pPr>
              <w:pStyle w:val="ECCTabletext"/>
            </w:pPr>
            <w:r w:rsidRPr="001F2C7F">
              <w:t>U</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3BCBBABA" w14:textId="77777777" w:rsidR="00466C1D" w:rsidRPr="001F2C7F" w:rsidRDefault="00466C1D" w:rsidP="009F0F19">
            <w:pPr>
              <w:pStyle w:val="ECCTabletext"/>
            </w:pPr>
            <w:r w:rsidRPr="001F2C7F">
              <w:t>D</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11C74DCF" w14:textId="77777777" w:rsidR="00466C1D" w:rsidRPr="001F2C7F" w:rsidRDefault="00466C1D" w:rsidP="009F0F19">
            <w:pPr>
              <w:pStyle w:val="ECCTabletext"/>
            </w:pPr>
            <w:r w:rsidRPr="001F2C7F">
              <w:t>D</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2600C8AE" w14:textId="77777777" w:rsidR="00466C1D" w:rsidRPr="001F2C7F" w:rsidRDefault="00466C1D" w:rsidP="009F0F19">
            <w:pPr>
              <w:pStyle w:val="ECCTabletext"/>
            </w:pPr>
            <w:r w:rsidRPr="001F2C7F">
              <w:t>S</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071F83D2" w14:textId="77777777" w:rsidR="00466C1D" w:rsidRPr="001F2C7F" w:rsidRDefault="00466C1D" w:rsidP="009F0F19">
            <w:pPr>
              <w:pStyle w:val="ECCTabletext"/>
            </w:pPr>
            <w:r w:rsidRPr="001F2C7F">
              <w:t>U</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5F10C323" w14:textId="77777777" w:rsidR="00466C1D" w:rsidRPr="001F2C7F" w:rsidRDefault="00466C1D" w:rsidP="009F0F19">
            <w:pPr>
              <w:pStyle w:val="ECCTabletext"/>
            </w:pPr>
            <w:r w:rsidRPr="001F2C7F">
              <w:t>D</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211B0A3B" w14:textId="77777777" w:rsidR="00466C1D" w:rsidRPr="001F2C7F" w:rsidRDefault="00466C1D" w:rsidP="009F0F19">
            <w:pPr>
              <w:pStyle w:val="ECCTabletext"/>
            </w:pPr>
            <w:r w:rsidRPr="001F2C7F">
              <w:t>D</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25643E38" w14:textId="77777777" w:rsidR="00466C1D" w:rsidRPr="001F2C7F" w:rsidRDefault="00466C1D" w:rsidP="009F0F19">
            <w:pPr>
              <w:pStyle w:val="ECCTabletext"/>
            </w:pPr>
            <w:r w:rsidRPr="001F2C7F">
              <w:t>S</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11B3BA72" w14:textId="77777777" w:rsidR="00466C1D" w:rsidRPr="001F2C7F" w:rsidRDefault="00466C1D" w:rsidP="009F0F19">
            <w:pPr>
              <w:pStyle w:val="ECCTabletext"/>
            </w:pPr>
            <w:r w:rsidRPr="001F2C7F">
              <w:t>U</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3704618F" w14:textId="77777777" w:rsidR="00466C1D" w:rsidRPr="001F2C7F" w:rsidRDefault="00466C1D" w:rsidP="009F0F19">
            <w:pPr>
              <w:pStyle w:val="ECCTabletext"/>
            </w:pPr>
            <w:r w:rsidRPr="001F2C7F">
              <w:t>D</w:t>
            </w:r>
          </w:p>
        </w:tc>
        <w:tc>
          <w:tcPr>
            <w:tcW w:w="284" w:type="dxa"/>
            <w:tcBorders>
              <w:top w:val="single" w:sz="4" w:space="0" w:color="FFFFFF" w:themeColor="background1"/>
              <w:left w:val="single" w:sz="4" w:space="0" w:color="D2232A"/>
              <w:bottom w:val="single" w:sz="4" w:space="0" w:color="D2232A"/>
              <w:right w:val="single" w:sz="4" w:space="0" w:color="D2232A"/>
            </w:tcBorders>
            <w:vAlign w:val="center"/>
          </w:tcPr>
          <w:p w14:paraId="3E1F82FE" w14:textId="77777777" w:rsidR="00466C1D" w:rsidRPr="001F2C7F" w:rsidRDefault="00466C1D" w:rsidP="009F0F19">
            <w:pPr>
              <w:pStyle w:val="ECCTabletext"/>
            </w:pPr>
            <w:r w:rsidRPr="001F2C7F">
              <w:t>D</w:t>
            </w:r>
          </w:p>
        </w:tc>
        <w:tc>
          <w:tcPr>
            <w:tcW w:w="283" w:type="dxa"/>
            <w:tcBorders>
              <w:top w:val="single" w:sz="4" w:space="0" w:color="FFFFFF" w:themeColor="background1"/>
              <w:left w:val="single" w:sz="4" w:space="0" w:color="D2232A"/>
              <w:bottom w:val="single" w:sz="4" w:space="0" w:color="D2232A"/>
              <w:right w:val="single" w:sz="4" w:space="0" w:color="D2232A"/>
            </w:tcBorders>
            <w:vAlign w:val="center"/>
          </w:tcPr>
          <w:p w14:paraId="59F10E28" w14:textId="77777777" w:rsidR="00466C1D" w:rsidRPr="001F2C7F" w:rsidRDefault="00466C1D" w:rsidP="009F0F19">
            <w:pPr>
              <w:pStyle w:val="ECCTabletext"/>
            </w:pPr>
            <w:r w:rsidRPr="001F2C7F">
              <w:t>S</w:t>
            </w:r>
          </w:p>
        </w:tc>
        <w:tc>
          <w:tcPr>
            <w:tcW w:w="275" w:type="dxa"/>
            <w:tcBorders>
              <w:top w:val="single" w:sz="4" w:space="0" w:color="FFFFFF" w:themeColor="background1"/>
              <w:left w:val="single" w:sz="4" w:space="0" w:color="D2232A"/>
              <w:bottom w:val="single" w:sz="4" w:space="0" w:color="D2232A"/>
              <w:right w:val="single" w:sz="4" w:space="0" w:color="D2232A"/>
            </w:tcBorders>
            <w:vAlign w:val="center"/>
          </w:tcPr>
          <w:p w14:paraId="0FB9041A" w14:textId="77777777" w:rsidR="00466C1D" w:rsidRPr="001F2C7F" w:rsidRDefault="00466C1D" w:rsidP="009F0F19">
            <w:pPr>
              <w:pStyle w:val="ECCTabletext"/>
            </w:pPr>
            <w:r w:rsidRPr="001F2C7F">
              <w:t>U</w:t>
            </w:r>
          </w:p>
        </w:tc>
      </w:tr>
      <w:tr w:rsidR="00466C1D" w:rsidRPr="001F2C7F" w14:paraId="32470965" w14:textId="77777777" w:rsidTr="009F0F19">
        <w:trPr>
          <w:jc w:val="center"/>
        </w:trPr>
        <w:tc>
          <w:tcPr>
            <w:tcW w:w="1559" w:type="dxa"/>
            <w:tcBorders>
              <w:top w:val="single" w:sz="4" w:space="0" w:color="D2232A"/>
              <w:left w:val="single" w:sz="4" w:space="0" w:color="D2232A"/>
              <w:bottom w:val="single" w:sz="4" w:space="0" w:color="D2232A"/>
              <w:right w:val="single" w:sz="4" w:space="0" w:color="D2232A"/>
            </w:tcBorders>
            <w:vAlign w:val="center"/>
          </w:tcPr>
          <w:p w14:paraId="55A8CCC1" w14:textId="77777777" w:rsidR="00466C1D" w:rsidRPr="001F2C7F" w:rsidRDefault="00466C1D" w:rsidP="009F0F19">
            <w:pPr>
              <w:pStyle w:val="ECCTabletext"/>
              <w:jc w:val="left"/>
            </w:pPr>
            <w:r w:rsidRPr="001F2C7F">
              <w:lastRenderedPageBreak/>
              <w:t>NR frame (SCS 30 kHz)</w:t>
            </w:r>
          </w:p>
        </w:tc>
        <w:tc>
          <w:tcPr>
            <w:tcW w:w="1843" w:type="dxa"/>
            <w:tcBorders>
              <w:top w:val="single" w:sz="4" w:space="0" w:color="D2232A"/>
              <w:left w:val="single" w:sz="4" w:space="0" w:color="D2232A"/>
              <w:bottom w:val="single" w:sz="4" w:space="0" w:color="D2232A"/>
              <w:right w:val="single" w:sz="4" w:space="0" w:color="D2232A"/>
            </w:tcBorders>
            <w:vAlign w:val="center"/>
          </w:tcPr>
          <w:p w14:paraId="47C3F642" w14:textId="77777777" w:rsidR="00466C1D" w:rsidRPr="001F2C7F" w:rsidRDefault="00466C1D" w:rsidP="009F0F19">
            <w:pPr>
              <w:pStyle w:val="ECCTabletext"/>
              <w:jc w:val="center"/>
            </w:pPr>
            <w:r w:rsidRPr="001F2C7F">
              <w:t>DDDSU</w:t>
            </w:r>
          </w:p>
        </w:tc>
        <w:tc>
          <w:tcPr>
            <w:tcW w:w="283" w:type="dxa"/>
            <w:tcBorders>
              <w:top w:val="single" w:sz="4" w:space="0" w:color="D2232A"/>
              <w:left w:val="single" w:sz="4" w:space="0" w:color="D2232A"/>
              <w:bottom w:val="single" w:sz="4" w:space="0" w:color="D2232A"/>
              <w:right w:val="single" w:sz="4" w:space="0" w:color="D2232A"/>
            </w:tcBorders>
            <w:vAlign w:val="center"/>
          </w:tcPr>
          <w:p w14:paraId="43CB1C44" w14:textId="77777777" w:rsidR="00466C1D" w:rsidRPr="001F2C7F" w:rsidRDefault="00466C1D" w:rsidP="009F0F19">
            <w:pPr>
              <w:pStyle w:val="ECCTabletext"/>
            </w:pPr>
            <w:r w:rsidRPr="001F2C7F">
              <w:t>D</w:t>
            </w:r>
          </w:p>
        </w:tc>
        <w:tc>
          <w:tcPr>
            <w:tcW w:w="284" w:type="dxa"/>
            <w:tcBorders>
              <w:top w:val="single" w:sz="4" w:space="0" w:color="D2232A"/>
              <w:left w:val="single" w:sz="4" w:space="0" w:color="D2232A"/>
              <w:bottom w:val="single" w:sz="4" w:space="0" w:color="D2232A"/>
              <w:right w:val="single" w:sz="4" w:space="0" w:color="D2232A"/>
            </w:tcBorders>
            <w:vAlign w:val="center"/>
          </w:tcPr>
          <w:p w14:paraId="620831D2" w14:textId="77777777" w:rsidR="00466C1D" w:rsidRPr="001F2C7F" w:rsidRDefault="00466C1D" w:rsidP="009F0F19">
            <w:pPr>
              <w:pStyle w:val="ECCTabletext"/>
            </w:pPr>
            <w:r w:rsidRPr="001F2C7F">
              <w:t>D</w:t>
            </w:r>
          </w:p>
        </w:tc>
        <w:tc>
          <w:tcPr>
            <w:tcW w:w="283" w:type="dxa"/>
            <w:tcBorders>
              <w:top w:val="single" w:sz="4" w:space="0" w:color="D2232A"/>
              <w:left w:val="single" w:sz="4" w:space="0" w:color="D2232A"/>
              <w:bottom w:val="single" w:sz="4" w:space="0" w:color="D2232A"/>
              <w:right w:val="single" w:sz="4" w:space="0" w:color="D2232A"/>
            </w:tcBorders>
            <w:vAlign w:val="center"/>
          </w:tcPr>
          <w:p w14:paraId="6F6C2C50" w14:textId="77777777" w:rsidR="00466C1D" w:rsidRPr="001F2C7F" w:rsidRDefault="00466C1D" w:rsidP="009F0F19">
            <w:pPr>
              <w:pStyle w:val="ECCTabletext"/>
            </w:pPr>
            <w:r w:rsidRPr="001F2C7F">
              <w:t>D</w:t>
            </w:r>
          </w:p>
        </w:tc>
        <w:tc>
          <w:tcPr>
            <w:tcW w:w="284" w:type="dxa"/>
            <w:tcBorders>
              <w:top w:val="single" w:sz="4" w:space="0" w:color="D2232A"/>
              <w:left w:val="single" w:sz="4" w:space="0" w:color="D2232A"/>
              <w:bottom w:val="single" w:sz="4" w:space="0" w:color="D2232A"/>
              <w:right w:val="single" w:sz="4" w:space="0" w:color="D2232A"/>
            </w:tcBorders>
            <w:vAlign w:val="center"/>
          </w:tcPr>
          <w:p w14:paraId="23ECEFE7" w14:textId="77777777" w:rsidR="00466C1D" w:rsidRPr="001F2C7F" w:rsidRDefault="00466C1D" w:rsidP="009F0F19">
            <w:pPr>
              <w:pStyle w:val="ECCTabletext"/>
            </w:pPr>
            <w:r w:rsidRPr="001F2C7F">
              <w:t>S</w:t>
            </w:r>
          </w:p>
        </w:tc>
        <w:tc>
          <w:tcPr>
            <w:tcW w:w="283" w:type="dxa"/>
            <w:tcBorders>
              <w:top w:val="single" w:sz="4" w:space="0" w:color="D2232A"/>
              <w:left w:val="single" w:sz="4" w:space="0" w:color="D2232A"/>
              <w:bottom w:val="single" w:sz="4" w:space="0" w:color="D2232A"/>
              <w:right w:val="single" w:sz="4" w:space="0" w:color="D2232A"/>
            </w:tcBorders>
            <w:vAlign w:val="center"/>
          </w:tcPr>
          <w:p w14:paraId="53BC27B1" w14:textId="77777777" w:rsidR="00466C1D" w:rsidRPr="001F2C7F" w:rsidRDefault="00466C1D" w:rsidP="009F0F19">
            <w:pPr>
              <w:pStyle w:val="ECCTabletext"/>
            </w:pPr>
            <w:r w:rsidRPr="001F2C7F">
              <w:t>U</w:t>
            </w:r>
          </w:p>
        </w:tc>
        <w:tc>
          <w:tcPr>
            <w:tcW w:w="284" w:type="dxa"/>
            <w:tcBorders>
              <w:top w:val="single" w:sz="4" w:space="0" w:color="D2232A"/>
              <w:left w:val="single" w:sz="4" w:space="0" w:color="D2232A"/>
              <w:bottom w:val="single" w:sz="4" w:space="0" w:color="D2232A"/>
              <w:right w:val="single" w:sz="4" w:space="0" w:color="D2232A"/>
            </w:tcBorders>
            <w:vAlign w:val="center"/>
          </w:tcPr>
          <w:p w14:paraId="744B82AC" w14:textId="77777777" w:rsidR="00466C1D" w:rsidRPr="001F2C7F" w:rsidRDefault="00466C1D" w:rsidP="009F0F19">
            <w:pPr>
              <w:pStyle w:val="ECCTabletext"/>
            </w:pPr>
            <w:r w:rsidRPr="001F2C7F">
              <w:t>D</w:t>
            </w:r>
          </w:p>
        </w:tc>
        <w:tc>
          <w:tcPr>
            <w:tcW w:w="283" w:type="dxa"/>
            <w:tcBorders>
              <w:top w:val="single" w:sz="4" w:space="0" w:color="D2232A"/>
              <w:left w:val="single" w:sz="4" w:space="0" w:color="D2232A"/>
              <w:bottom w:val="single" w:sz="4" w:space="0" w:color="D2232A"/>
              <w:right w:val="single" w:sz="4" w:space="0" w:color="D2232A"/>
            </w:tcBorders>
            <w:vAlign w:val="center"/>
          </w:tcPr>
          <w:p w14:paraId="0FE0E45E" w14:textId="77777777" w:rsidR="00466C1D" w:rsidRPr="001F2C7F" w:rsidRDefault="00466C1D" w:rsidP="009F0F19">
            <w:pPr>
              <w:pStyle w:val="ECCTabletext"/>
            </w:pPr>
            <w:r w:rsidRPr="001F2C7F">
              <w:t>D</w:t>
            </w:r>
          </w:p>
        </w:tc>
        <w:tc>
          <w:tcPr>
            <w:tcW w:w="284" w:type="dxa"/>
            <w:tcBorders>
              <w:top w:val="single" w:sz="4" w:space="0" w:color="D2232A"/>
              <w:left w:val="single" w:sz="4" w:space="0" w:color="D2232A"/>
              <w:bottom w:val="single" w:sz="4" w:space="0" w:color="D2232A"/>
              <w:right w:val="single" w:sz="4" w:space="0" w:color="D2232A"/>
            </w:tcBorders>
            <w:vAlign w:val="center"/>
          </w:tcPr>
          <w:p w14:paraId="41A5A292" w14:textId="77777777" w:rsidR="00466C1D" w:rsidRPr="001F2C7F" w:rsidRDefault="00466C1D" w:rsidP="009F0F19">
            <w:pPr>
              <w:pStyle w:val="ECCTabletext"/>
            </w:pPr>
            <w:r w:rsidRPr="001F2C7F">
              <w:t>D</w:t>
            </w:r>
          </w:p>
        </w:tc>
        <w:tc>
          <w:tcPr>
            <w:tcW w:w="283" w:type="dxa"/>
            <w:tcBorders>
              <w:top w:val="single" w:sz="4" w:space="0" w:color="D2232A"/>
              <w:left w:val="single" w:sz="4" w:space="0" w:color="D2232A"/>
              <w:bottom w:val="single" w:sz="4" w:space="0" w:color="D2232A"/>
              <w:right w:val="single" w:sz="4" w:space="0" w:color="D2232A"/>
            </w:tcBorders>
            <w:vAlign w:val="center"/>
          </w:tcPr>
          <w:p w14:paraId="0A5A8C44" w14:textId="77777777" w:rsidR="00466C1D" w:rsidRPr="001F2C7F" w:rsidRDefault="00466C1D" w:rsidP="009F0F19">
            <w:pPr>
              <w:pStyle w:val="ECCTabletext"/>
            </w:pPr>
            <w:r w:rsidRPr="001F2C7F">
              <w:t>S</w:t>
            </w:r>
          </w:p>
        </w:tc>
        <w:tc>
          <w:tcPr>
            <w:tcW w:w="284" w:type="dxa"/>
            <w:tcBorders>
              <w:top w:val="single" w:sz="4" w:space="0" w:color="D2232A"/>
              <w:left w:val="single" w:sz="4" w:space="0" w:color="D2232A"/>
              <w:bottom w:val="single" w:sz="4" w:space="0" w:color="D2232A"/>
              <w:right w:val="single" w:sz="4" w:space="0" w:color="D2232A"/>
            </w:tcBorders>
            <w:vAlign w:val="center"/>
          </w:tcPr>
          <w:p w14:paraId="4EC3BC48" w14:textId="77777777" w:rsidR="00466C1D" w:rsidRPr="001F2C7F" w:rsidRDefault="00466C1D" w:rsidP="009F0F19">
            <w:pPr>
              <w:pStyle w:val="ECCTabletext"/>
            </w:pPr>
            <w:r w:rsidRPr="001F2C7F">
              <w:t>U</w:t>
            </w:r>
          </w:p>
        </w:tc>
        <w:tc>
          <w:tcPr>
            <w:tcW w:w="283" w:type="dxa"/>
            <w:tcBorders>
              <w:top w:val="single" w:sz="4" w:space="0" w:color="D2232A"/>
              <w:left w:val="single" w:sz="4" w:space="0" w:color="D2232A"/>
              <w:bottom w:val="single" w:sz="4" w:space="0" w:color="D2232A"/>
              <w:right w:val="single" w:sz="4" w:space="0" w:color="D2232A"/>
            </w:tcBorders>
            <w:vAlign w:val="center"/>
          </w:tcPr>
          <w:p w14:paraId="461AFD1C" w14:textId="77777777" w:rsidR="00466C1D" w:rsidRPr="001F2C7F" w:rsidRDefault="00466C1D" w:rsidP="009F0F19">
            <w:pPr>
              <w:pStyle w:val="ECCTabletext"/>
            </w:pPr>
            <w:r w:rsidRPr="001F2C7F">
              <w:t>D</w:t>
            </w:r>
          </w:p>
        </w:tc>
        <w:tc>
          <w:tcPr>
            <w:tcW w:w="284" w:type="dxa"/>
            <w:tcBorders>
              <w:top w:val="single" w:sz="4" w:space="0" w:color="D2232A"/>
              <w:left w:val="single" w:sz="4" w:space="0" w:color="D2232A"/>
              <w:bottom w:val="single" w:sz="4" w:space="0" w:color="D2232A"/>
              <w:right w:val="single" w:sz="4" w:space="0" w:color="D2232A"/>
            </w:tcBorders>
            <w:vAlign w:val="center"/>
          </w:tcPr>
          <w:p w14:paraId="146CE4AE" w14:textId="77777777" w:rsidR="00466C1D" w:rsidRPr="001F2C7F" w:rsidRDefault="00466C1D" w:rsidP="009F0F19">
            <w:pPr>
              <w:pStyle w:val="ECCTabletext"/>
            </w:pPr>
            <w:r w:rsidRPr="001F2C7F">
              <w:t>D</w:t>
            </w:r>
          </w:p>
        </w:tc>
        <w:tc>
          <w:tcPr>
            <w:tcW w:w="283" w:type="dxa"/>
            <w:tcBorders>
              <w:top w:val="single" w:sz="4" w:space="0" w:color="D2232A"/>
              <w:left w:val="single" w:sz="4" w:space="0" w:color="D2232A"/>
              <w:bottom w:val="single" w:sz="4" w:space="0" w:color="D2232A"/>
              <w:right w:val="single" w:sz="4" w:space="0" w:color="D2232A"/>
            </w:tcBorders>
            <w:vAlign w:val="center"/>
          </w:tcPr>
          <w:p w14:paraId="308DA1F5" w14:textId="77777777" w:rsidR="00466C1D" w:rsidRPr="001F2C7F" w:rsidRDefault="00466C1D" w:rsidP="009F0F19">
            <w:pPr>
              <w:pStyle w:val="ECCTabletext"/>
            </w:pPr>
            <w:r w:rsidRPr="001F2C7F">
              <w:t>D</w:t>
            </w:r>
          </w:p>
        </w:tc>
        <w:tc>
          <w:tcPr>
            <w:tcW w:w="284" w:type="dxa"/>
            <w:tcBorders>
              <w:top w:val="single" w:sz="4" w:space="0" w:color="D2232A"/>
              <w:left w:val="single" w:sz="4" w:space="0" w:color="D2232A"/>
              <w:bottom w:val="single" w:sz="4" w:space="0" w:color="D2232A"/>
              <w:right w:val="single" w:sz="4" w:space="0" w:color="D2232A"/>
            </w:tcBorders>
            <w:vAlign w:val="center"/>
          </w:tcPr>
          <w:p w14:paraId="448AF711" w14:textId="77777777" w:rsidR="00466C1D" w:rsidRPr="001F2C7F" w:rsidRDefault="00466C1D" w:rsidP="009F0F19">
            <w:pPr>
              <w:pStyle w:val="ECCTabletext"/>
            </w:pPr>
            <w:r w:rsidRPr="001F2C7F">
              <w:t>S</w:t>
            </w:r>
          </w:p>
        </w:tc>
        <w:tc>
          <w:tcPr>
            <w:tcW w:w="283" w:type="dxa"/>
            <w:tcBorders>
              <w:top w:val="single" w:sz="4" w:space="0" w:color="D2232A"/>
              <w:left w:val="single" w:sz="4" w:space="0" w:color="D2232A"/>
              <w:bottom w:val="single" w:sz="4" w:space="0" w:color="D2232A"/>
              <w:right w:val="single" w:sz="4" w:space="0" w:color="D2232A"/>
            </w:tcBorders>
            <w:vAlign w:val="center"/>
          </w:tcPr>
          <w:p w14:paraId="22351075" w14:textId="77777777" w:rsidR="00466C1D" w:rsidRPr="001F2C7F" w:rsidRDefault="00466C1D" w:rsidP="009F0F19">
            <w:pPr>
              <w:pStyle w:val="ECCTabletext"/>
            </w:pPr>
            <w:r w:rsidRPr="001F2C7F">
              <w:t>U</w:t>
            </w:r>
          </w:p>
        </w:tc>
        <w:tc>
          <w:tcPr>
            <w:tcW w:w="284" w:type="dxa"/>
            <w:tcBorders>
              <w:top w:val="single" w:sz="4" w:space="0" w:color="D2232A"/>
              <w:left w:val="single" w:sz="4" w:space="0" w:color="D2232A"/>
              <w:bottom w:val="single" w:sz="4" w:space="0" w:color="D2232A"/>
              <w:right w:val="single" w:sz="4" w:space="0" w:color="D2232A"/>
            </w:tcBorders>
            <w:vAlign w:val="center"/>
          </w:tcPr>
          <w:p w14:paraId="68C524B4" w14:textId="77777777" w:rsidR="00466C1D" w:rsidRPr="001F2C7F" w:rsidRDefault="00466C1D" w:rsidP="009F0F19">
            <w:pPr>
              <w:pStyle w:val="ECCTabletext"/>
            </w:pPr>
            <w:r w:rsidRPr="001F2C7F">
              <w:t>D</w:t>
            </w:r>
          </w:p>
        </w:tc>
        <w:tc>
          <w:tcPr>
            <w:tcW w:w="283" w:type="dxa"/>
            <w:tcBorders>
              <w:top w:val="single" w:sz="4" w:space="0" w:color="D2232A"/>
              <w:left w:val="single" w:sz="4" w:space="0" w:color="D2232A"/>
              <w:bottom w:val="single" w:sz="4" w:space="0" w:color="D2232A"/>
              <w:right w:val="single" w:sz="4" w:space="0" w:color="D2232A"/>
            </w:tcBorders>
            <w:vAlign w:val="center"/>
          </w:tcPr>
          <w:p w14:paraId="6E1E032D" w14:textId="77777777" w:rsidR="00466C1D" w:rsidRPr="001F2C7F" w:rsidRDefault="00466C1D" w:rsidP="009F0F19">
            <w:pPr>
              <w:pStyle w:val="ECCTabletext"/>
            </w:pPr>
            <w:r w:rsidRPr="001F2C7F">
              <w:t>D</w:t>
            </w:r>
          </w:p>
        </w:tc>
        <w:tc>
          <w:tcPr>
            <w:tcW w:w="284" w:type="dxa"/>
            <w:tcBorders>
              <w:top w:val="single" w:sz="4" w:space="0" w:color="D2232A"/>
              <w:left w:val="single" w:sz="4" w:space="0" w:color="D2232A"/>
              <w:bottom w:val="single" w:sz="4" w:space="0" w:color="D2232A"/>
              <w:right w:val="single" w:sz="4" w:space="0" w:color="D2232A"/>
            </w:tcBorders>
            <w:vAlign w:val="center"/>
          </w:tcPr>
          <w:p w14:paraId="106CC3DF" w14:textId="77777777" w:rsidR="00466C1D" w:rsidRPr="001F2C7F" w:rsidRDefault="00466C1D" w:rsidP="009F0F19">
            <w:pPr>
              <w:pStyle w:val="ECCTabletext"/>
            </w:pPr>
            <w:r w:rsidRPr="001F2C7F">
              <w:t>D</w:t>
            </w:r>
          </w:p>
        </w:tc>
        <w:tc>
          <w:tcPr>
            <w:tcW w:w="283" w:type="dxa"/>
            <w:tcBorders>
              <w:top w:val="single" w:sz="4" w:space="0" w:color="D2232A"/>
              <w:left w:val="single" w:sz="4" w:space="0" w:color="D2232A"/>
              <w:bottom w:val="single" w:sz="4" w:space="0" w:color="D2232A"/>
              <w:right w:val="single" w:sz="4" w:space="0" w:color="D2232A"/>
            </w:tcBorders>
            <w:vAlign w:val="center"/>
          </w:tcPr>
          <w:p w14:paraId="37A2F27E" w14:textId="77777777" w:rsidR="00466C1D" w:rsidRPr="001F2C7F" w:rsidRDefault="00466C1D" w:rsidP="009F0F19">
            <w:pPr>
              <w:pStyle w:val="ECCTabletext"/>
            </w:pPr>
            <w:r w:rsidRPr="001F2C7F">
              <w:t>S</w:t>
            </w:r>
          </w:p>
        </w:tc>
        <w:tc>
          <w:tcPr>
            <w:tcW w:w="275" w:type="dxa"/>
            <w:tcBorders>
              <w:top w:val="single" w:sz="4" w:space="0" w:color="D2232A"/>
              <w:left w:val="single" w:sz="4" w:space="0" w:color="D2232A"/>
              <w:bottom w:val="single" w:sz="4" w:space="0" w:color="D2232A"/>
              <w:right w:val="single" w:sz="4" w:space="0" w:color="D2232A"/>
            </w:tcBorders>
            <w:vAlign w:val="center"/>
          </w:tcPr>
          <w:p w14:paraId="013D9342" w14:textId="77777777" w:rsidR="00466C1D" w:rsidRPr="001F2C7F" w:rsidRDefault="00466C1D" w:rsidP="009F0F19">
            <w:pPr>
              <w:pStyle w:val="ECCTabletext"/>
            </w:pPr>
            <w:r w:rsidRPr="001F2C7F">
              <w:t>U</w:t>
            </w:r>
          </w:p>
        </w:tc>
      </w:tr>
    </w:tbl>
    <w:p w14:paraId="30D33FE7" w14:textId="39D1C763" w:rsidR="0024268D" w:rsidRDefault="0024268D" w:rsidP="0024268D">
      <w:pPr>
        <w:ind w:left="1"/>
        <w:rPr>
          <w:rFonts w:ascii="Times New Roman" w:hAnsi="Times New Roman" w:cs="Times New Roman"/>
          <w:sz w:val="20"/>
          <w:szCs w:val="20"/>
        </w:rPr>
      </w:pPr>
    </w:p>
    <w:p w14:paraId="642FC8D8" w14:textId="66EE45DF" w:rsidR="0024268D" w:rsidRDefault="006A3D7B" w:rsidP="0024268D">
      <w:pPr>
        <w:ind w:left="1"/>
        <w:rPr>
          <w:rFonts w:ascii="Times New Roman" w:hAnsi="Times New Roman" w:cs="Times New Roman"/>
          <w:sz w:val="20"/>
          <w:szCs w:val="20"/>
        </w:rPr>
      </w:pPr>
      <w:r w:rsidRPr="00B53E3D">
        <w:rPr>
          <w:rFonts w:ascii="Times New Roman" w:hAnsi="Times New Roman" w:cs="Times New Roman"/>
          <w:sz w:val="20"/>
          <w:szCs w:val="20"/>
        </w:rPr>
        <w:t>NR frame structures compatible with the LTE frame structure configuration n°2</w:t>
      </w:r>
      <w:r>
        <w:rPr>
          <w:rFonts w:ascii="Times New Roman" w:hAnsi="Times New Roman" w:cs="Times New Roman"/>
          <w:sz w:val="20"/>
          <w:szCs w:val="20"/>
        </w:rPr>
        <w:t xml:space="preserve"> are given </w:t>
      </w:r>
      <w:r w:rsidRPr="00B53E3D">
        <w:rPr>
          <w:rFonts w:ascii="Times New Roman" w:hAnsi="Times New Roman" w:cs="Times New Roman"/>
          <w:sz w:val="20"/>
          <w:szCs w:val="20"/>
        </w:rPr>
        <w:t>to ensure compatibility with LTE systems</w:t>
      </w:r>
      <w:r>
        <w:rPr>
          <w:rFonts w:ascii="Times New Roman" w:hAnsi="Times New Roman" w:cs="Times New Roman"/>
          <w:sz w:val="20"/>
          <w:szCs w:val="20"/>
        </w:rPr>
        <w:t xml:space="preserve"> </w:t>
      </w:r>
      <w:r w:rsidRPr="00B53E3D">
        <w:rPr>
          <w:rFonts w:ascii="Times New Roman" w:hAnsi="Times New Roman" w:cs="Times New Roman"/>
          <w:sz w:val="20"/>
          <w:szCs w:val="20"/>
        </w:rPr>
        <w:t>allowing deployments close to the border</w:t>
      </w:r>
      <w:r>
        <w:rPr>
          <w:rFonts w:ascii="Times New Roman" w:hAnsi="Times New Roman" w:cs="Times New Roman"/>
          <w:sz w:val="20"/>
          <w:szCs w:val="20"/>
        </w:rPr>
        <w:t xml:space="preserve">. </w:t>
      </w:r>
    </w:p>
    <w:p w14:paraId="323792E3" w14:textId="4D411AFC" w:rsidR="007F4C02" w:rsidRDefault="00F276ED" w:rsidP="0024268D">
      <w:pPr>
        <w:ind w:left="1"/>
        <w:rPr>
          <w:rFonts w:ascii="Times New Roman" w:hAnsi="Times New Roman" w:cs="Times New Roman"/>
          <w:sz w:val="20"/>
          <w:szCs w:val="20"/>
        </w:rPr>
      </w:pPr>
      <w:r>
        <w:rPr>
          <w:rFonts w:ascii="Times New Roman" w:hAnsi="Times New Roman" w:cs="Times New Roman"/>
          <w:sz w:val="20"/>
          <w:szCs w:val="20"/>
        </w:rPr>
        <w:t>This Recommendation</w:t>
      </w:r>
      <w:r w:rsidR="006A3D7B">
        <w:rPr>
          <w:rFonts w:ascii="Times New Roman" w:hAnsi="Times New Roman" w:cs="Times New Roman"/>
          <w:sz w:val="20"/>
          <w:szCs w:val="20"/>
        </w:rPr>
        <w:t xml:space="preserve"> also </w:t>
      </w:r>
      <w:r>
        <w:rPr>
          <w:rFonts w:ascii="Times New Roman" w:hAnsi="Times New Roman" w:cs="Times New Roman"/>
          <w:sz w:val="20"/>
          <w:szCs w:val="20"/>
        </w:rPr>
        <w:t xml:space="preserve">has </w:t>
      </w:r>
      <w:r w:rsidR="006A3D7B" w:rsidRPr="006A3D7B">
        <w:rPr>
          <w:rFonts w:ascii="Times New Roman" w:hAnsi="Times New Roman" w:cs="Times New Roman"/>
          <w:sz w:val="20"/>
          <w:szCs w:val="20"/>
        </w:rPr>
        <w:t>define</w:t>
      </w:r>
      <w:r>
        <w:rPr>
          <w:rFonts w:ascii="Times New Roman" w:hAnsi="Times New Roman" w:cs="Times New Roman"/>
          <w:sz w:val="20"/>
          <w:szCs w:val="20"/>
        </w:rPr>
        <w:t>d</w:t>
      </w:r>
      <w:r w:rsidR="006A3D7B" w:rsidRPr="006A3D7B">
        <w:rPr>
          <w:rFonts w:ascii="Times New Roman" w:hAnsi="Times New Roman" w:cs="Times New Roman"/>
          <w:sz w:val="20"/>
          <w:szCs w:val="20"/>
        </w:rPr>
        <w:t xml:space="preserve"> a coordination trigger value at the geographical border for unsynchronised TDD networks in the frequency band 3400-3800 MHz which may result in large distances from the border where neighbouring administrations will need to coordinate base stations deployment; such large distances may impact negatively coverage and services provisions at both sides of the border</w:t>
      </w:r>
      <w:r w:rsidR="007F4C02">
        <w:rPr>
          <w:rFonts w:ascii="Times New Roman" w:hAnsi="Times New Roman" w:cs="Times New Roman"/>
          <w:sz w:val="20"/>
          <w:szCs w:val="20"/>
        </w:rPr>
        <w:t xml:space="preserve">. </w:t>
      </w:r>
    </w:p>
    <w:p w14:paraId="3A3AB856" w14:textId="39D23578" w:rsidR="00B53E3D" w:rsidRPr="006A3D7B" w:rsidRDefault="007F4C02" w:rsidP="0024268D">
      <w:pPr>
        <w:ind w:left="1"/>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addition, frame structures in ECC Recommendation (20)03[4] Annex1 are recommended </w:t>
      </w:r>
      <w:r w:rsidRPr="007F4C02">
        <w:rPr>
          <w:rFonts w:ascii="Times New Roman" w:hAnsi="Times New Roman" w:cs="Times New Roman"/>
          <w:sz w:val="20"/>
          <w:szCs w:val="20"/>
        </w:rPr>
        <w:t>in order to facilitate synchronisation and to implement Downlink Symbol Blanking (DSB) in border areas for efficient use of spectrum</w:t>
      </w:r>
      <w:r>
        <w:rPr>
          <w:rFonts w:ascii="Times New Roman" w:hAnsi="Times New Roman" w:cs="Times New Roman"/>
          <w:sz w:val="20"/>
          <w:szCs w:val="20"/>
        </w:rPr>
        <w:t xml:space="preserve"> as stated in </w:t>
      </w:r>
      <w:r w:rsidRPr="007F4C02">
        <w:rPr>
          <w:rFonts w:ascii="Times New Roman" w:hAnsi="Times New Roman" w:cs="Times New Roman"/>
          <w:i/>
          <w:iCs/>
          <w:sz w:val="20"/>
          <w:szCs w:val="20"/>
        </w:rPr>
        <w:t xml:space="preserve">recommends </w:t>
      </w:r>
      <w:r>
        <w:rPr>
          <w:rFonts w:ascii="Times New Roman" w:hAnsi="Times New Roman" w:cs="Times New Roman"/>
          <w:i/>
          <w:iCs/>
          <w:sz w:val="20"/>
          <w:szCs w:val="20"/>
        </w:rPr>
        <w:t>3</w:t>
      </w:r>
      <w:r>
        <w:rPr>
          <w:rFonts w:ascii="Times New Roman" w:hAnsi="Times New Roman" w:cs="Times New Roman"/>
          <w:sz w:val="20"/>
          <w:szCs w:val="20"/>
        </w:rPr>
        <w:t>.</w:t>
      </w:r>
    </w:p>
    <w:p w14:paraId="41C63D9C" w14:textId="47C8B768" w:rsidR="006A3D7B" w:rsidRPr="00B53E3D" w:rsidRDefault="006A3D7B" w:rsidP="006A3D7B">
      <w:pPr>
        <w:ind w:left="1"/>
        <w:rPr>
          <w:rFonts w:ascii="Times New Roman" w:hAnsi="Times New Roman" w:cs="Times New Roman"/>
          <w:b/>
          <w:bCs/>
          <w:sz w:val="20"/>
          <w:szCs w:val="20"/>
          <w:u w:val="single"/>
        </w:rPr>
      </w:pPr>
      <w:r w:rsidRPr="00B53E3D">
        <w:rPr>
          <w:rFonts w:ascii="Times New Roman" w:hAnsi="Times New Roman" w:cs="Times New Roman"/>
          <w:b/>
          <w:bCs/>
          <w:sz w:val="20"/>
          <w:szCs w:val="20"/>
          <w:u w:val="single"/>
        </w:rPr>
        <w:t>ECC Recommendation (</w:t>
      </w:r>
      <w:r>
        <w:rPr>
          <w:rFonts w:ascii="Times New Roman" w:hAnsi="Times New Roman" w:cs="Times New Roman"/>
          <w:b/>
          <w:bCs/>
          <w:sz w:val="20"/>
          <w:szCs w:val="20"/>
          <w:u w:val="single"/>
        </w:rPr>
        <w:t>20</w:t>
      </w:r>
      <w:r w:rsidRPr="00B53E3D">
        <w:rPr>
          <w:rFonts w:ascii="Times New Roman" w:hAnsi="Times New Roman" w:cs="Times New Roman"/>
          <w:b/>
          <w:bCs/>
          <w:sz w:val="20"/>
          <w:szCs w:val="20"/>
          <w:u w:val="single"/>
        </w:rPr>
        <w:t>)03</w:t>
      </w:r>
    </w:p>
    <w:p w14:paraId="0668BBCB" w14:textId="5432C7CF" w:rsidR="006A3D7B" w:rsidRPr="006A3D7B" w:rsidRDefault="006A3D7B" w:rsidP="006A3D7B">
      <w:pPr>
        <w:ind w:left="1"/>
        <w:rPr>
          <w:rFonts w:ascii="Times New Roman" w:hAnsi="Times New Roman" w:cs="Times New Roman"/>
          <w:sz w:val="20"/>
          <w:szCs w:val="20"/>
        </w:rPr>
      </w:pPr>
      <w:r>
        <w:rPr>
          <w:rFonts w:ascii="Times New Roman" w:hAnsi="Times New Roman" w:cs="Times New Roman"/>
          <w:sz w:val="20"/>
          <w:szCs w:val="20"/>
        </w:rPr>
        <w:t xml:space="preserve">In </w:t>
      </w:r>
      <w:r>
        <w:rPr>
          <w:rFonts w:ascii="Times New Roman" w:hAnsi="Times New Roman" w:cs="Times New Roman" w:hint="eastAsia"/>
          <w:sz w:val="20"/>
          <w:szCs w:val="20"/>
        </w:rPr>
        <w:t>E</w:t>
      </w:r>
      <w:r>
        <w:rPr>
          <w:rFonts w:ascii="Times New Roman" w:hAnsi="Times New Roman" w:cs="Times New Roman"/>
          <w:sz w:val="20"/>
          <w:szCs w:val="20"/>
        </w:rPr>
        <w:t xml:space="preserve">CC Recommendation (20)03, it </w:t>
      </w:r>
      <w:r w:rsidRPr="006A3D7B">
        <w:rPr>
          <w:rFonts w:ascii="Times New Roman" w:hAnsi="Times New Roman" w:cs="Times New Roman"/>
          <w:i/>
          <w:iCs/>
          <w:sz w:val="20"/>
          <w:szCs w:val="20"/>
        </w:rPr>
        <w:t>recommends</w:t>
      </w:r>
      <w:r>
        <w:rPr>
          <w:rFonts w:ascii="Times New Roman" w:hAnsi="Times New Roman" w:cs="Times New Roman"/>
          <w:i/>
          <w:iCs/>
          <w:sz w:val="20"/>
          <w:szCs w:val="20"/>
        </w:rPr>
        <w:t xml:space="preserve">: </w:t>
      </w:r>
    </w:p>
    <w:p w14:paraId="7420128B" w14:textId="7BB681B2" w:rsidR="000C5755" w:rsidRDefault="006A3D7B" w:rsidP="006A3D7B">
      <w:pPr>
        <w:ind w:left="426" w:hangingChars="213" w:hanging="426"/>
        <w:rPr>
          <w:rFonts w:ascii="Times New Roman" w:hAnsi="Times New Roman" w:cs="Times New Roman"/>
          <w:i/>
          <w:iCs/>
          <w:sz w:val="20"/>
          <w:szCs w:val="20"/>
        </w:rPr>
      </w:pPr>
      <w:r w:rsidRPr="006A3D7B">
        <w:rPr>
          <w:rFonts w:ascii="Times New Roman" w:hAnsi="Times New Roman" w:cs="Times New Roman"/>
          <w:i/>
          <w:iCs/>
          <w:sz w:val="20"/>
          <w:szCs w:val="20"/>
        </w:rPr>
        <w:t xml:space="preserve">1. </w:t>
      </w:r>
      <w:r>
        <w:rPr>
          <w:rFonts w:ascii="Times New Roman" w:hAnsi="Times New Roman" w:cs="Times New Roman"/>
          <w:i/>
          <w:iCs/>
          <w:sz w:val="20"/>
          <w:szCs w:val="20"/>
        </w:rPr>
        <w:tab/>
      </w:r>
      <w:r w:rsidRPr="006A3D7B">
        <w:rPr>
          <w:rFonts w:ascii="Times New Roman" w:hAnsi="Times New Roman" w:cs="Times New Roman"/>
          <w:i/>
          <w:iCs/>
          <w:sz w:val="20"/>
          <w:szCs w:val="20"/>
        </w:rPr>
        <w:t xml:space="preserve">that CEPT administrations should use the frame structures defined in Annex 1 for especially outdoor TDD MFCN in the frequency band 3400-3800 MHz with an agreed common phase clock reference in order to facilitate cross-border coordination; </w:t>
      </w:r>
    </w:p>
    <w:p w14:paraId="239A7F27" w14:textId="17E59FD0" w:rsidR="001462F9" w:rsidRDefault="001462F9" w:rsidP="006A3D7B">
      <w:pPr>
        <w:ind w:left="426" w:hangingChars="213" w:hanging="426"/>
        <w:rPr>
          <w:rFonts w:ascii="Times New Roman" w:hAnsi="Times New Roman" w:cs="Times New Roman"/>
          <w:i/>
          <w:iCs/>
          <w:sz w:val="20"/>
          <w:szCs w:val="20"/>
        </w:rPr>
      </w:pPr>
      <w:r>
        <w:rPr>
          <w:rFonts w:ascii="Times New Roman" w:hAnsi="Times New Roman" w:cs="Times New Roman"/>
          <w:i/>
          <w:iCs/>
          <w:sz w:val="20"/>
          <w:szCs w:val="20"/>
        </w:rPr>
        <w:t>……</w:t>
      </w:r>
    </w:p>
    <w:p w14:paraId="0E129C9F" w14:textId="55B51B13" w:rsidR="006A3D7B" w:rsidRDefault="001462F9" w:rsidP="001462F9">
      <w:pPr>
        <w:ind w:left="2"/>
        <w:rPr>
          <w:rFonts w:ascii="Times New Roman" w:hAnsi="Times New Roman" w:cs="Times New Roman"/>
          <w:sz w:val="20"/>
          <w:szCs w:val="20"/>
        </w:rPr>
      </w:pPr>
      <w:r>
        <w:rPr>
          <w:rFonts w:ascii="Times New Roman" w:hAnsi="Times New Roman" w:cs="Times New Roman"/>
          <w:sz w:val="20"/>
          <w:szCs w:val="20"/>
        </w:rPr>
        <w:t>Accordingly, t</w:t>
      </w:r>
      <w:r w:rsidRPr="001462F9">
        <w:rPr>
          <w:rFonts w:ascii="Times New Roman" w:hAnsi="Times New Roman" w:cs="Times New Roman"/>
          <w:sz w:val="20"/>
          <w:szCs w:val="20"/>
        </w:rPr>
        <w:t xml:space="preserve">wo frame structures (Frame A and Frame B) for TDD MFCN </w:t>
      </w:r>
      <w:r>
        <w:rPr>
          <w:rFonts w:ascii="Times New Roman" w:hAnsi="Times New Roman" w:cs="Times New Roman"/>
          <w:sz w:val="20"/>
          <w:szCs w:val="20"/>
        </w:rPr>
        <w:t xml:space="preserve">have been defined in Annex 1 </w:t>
      </w:r>
      <w:r w:rsidRPr="001462F9">
        <w:rPr>
          <w:rFonts w:ascii="Times New Roman" w:hAnsi="Times New Roman" w:cs="Times New Roman"/>
          <w:sz w:val="20"/>
          <w:szCs w:val="20"/>
        </w:rPr>
        <w:t>in order to facilitate cross-border coordination in the frequency band 3400-3800 MHz.</w:t>
      </w:r>
    </w:p>
    <w:p w14:paraId="3C8DA7E8" w14:textId="65EE8B60" w:rsidR="001462F9" w:rsidRDefault="001462F9" w:rsidP="001462F9">
      <w:pPr>
        <w:pStyle w:val="TAC"/>
        <w:rPr>
          <w:b/>
          <w:lang w:val="en-US"/>
        </w:rPr>
      </w:pPr>
      <w:r w:rsidRPr="001462F9">
        <w:rPr>
          <w:rFonts w:hint="eastAsia"/>
          <w:b/>
          <w:lang w:val="en-US"/>
        </w:rPr>
        <w:t>T</w:t>
      </w:r>
      <w:r w:rsidRPr="001462F9">
        <w:rPr>
          <w:b/>
          <w:lang w:val="en-US"/>
        </w:rPr>
        <w:t>able 2: Recommended frame structures for TDD MFCN cross-border coordination in 3400-3800 MHz</w:t>
      </w:r>
      <w:r>
        <w:rPr>
          <w:b/>
          <w:lang w:val="en-US"/>
        </w:rPr>
        <w:t xml:space="preserve"> in ECC Recommendation (20)03</w:t>
      </w:r>
    </w:p>
    <w:tbl>
      <w:tblPr>
        <w:tblStyle w:val="af6"/>
        <w:tblpPr w:leftFromText="141" w:rightFromText="141" w:vertAnchor="text" w:horzAnchor="margin" w:tblpXSpec="center" w:tblpY="1"/>
        <w:tblOverlap w:val="never"/>
        <w:tblW w:w="4693" w:type="pct"/>
        <w:tblLook w:val="04A0" w:firstRow="1" w:lastRow="0" w:firstColumn="1" w:lastColumn="0" w:noHBand="0" w:noVBand="1"/>
      </w:tblPr>
      <w:tblGrid>
        <w:gridCol w:w="1903"/>
        <w:gridCol w:w="1028"/>
        <w:gridCol w:w="1101"/>
        <w:gridCol w:w="777"/>
        <w:gridCol w:w="1028"/>
        <w:gridCol w:w="1178"/>
        <w:gridCol w:w="772"/>
      </w:tblGrid>
      <w:tr w:rsidR="00466C1D" w:rsidRPr="00EE1E00" w14:paraId="3BCC3D8F" w14:textId="77777777" w:rsidTr="009F0F19">
        <w:tc>
          <w:tcPr>
            <w:tcW w:w="1278" w:type="pct"/>
            <w:tcBorders>
              <w:top w:val="single" w:sz="4" w:space="0" w:color="FFFFFF" w:themeColor="background1"/>
              <w:left w:val="single" w:sz="4" w:space="0" w:color="FFFFFF" w:themeColor="background1"/>
              <w:bottom w:val="single" w:sz="4" w:space="0" w:color="D2232A"/>
              <w:right w:val="single" w:sz="4" w:space="0" w:color="FFFFFF" w:themeColor="background1"/>
            </w:tcBorders>
            <w:shd w:val="clear" w:color="auto" w:fill="D2232A"/>
          </w:tcPr>
          <w:p w14:paraId="2C30C7EB" w14:textId="77777777" w:rsidR="00466C1D" w:rsidRPr="00EE1E00" w:rsidRDefault="00466C1D" w:rsidP="009F0F19">
            <w:pPr>
              <w:pStyle w:val="ECCParagraph"/>
              <w:spacing w:before="120" w:after="120"/>
              <w:jc w:val="left"/>
              <w:rPr>
                <w:color w:val="FFFFFF" w:themeColor="background1"/>
              </w:rPr>
            </w:pPr>
          </w:p>
        </w:tc>
        <w:tc>
          <w:tcPr>
            <w:tcW w:w="1875" w:type="pct"/>
            <w:gridSpan w:val="3"/>
            <w:tcBorders>
              <w:top w:val="single" w:sz="4" w:space="0" w:color="FFFFFF" w:themeColor="background1"/>
              <w:left w:val="single" w:sz="4" w:space="0" w:color="FFFFFF" w:themeColor="background1"/>
              <w:bottom w:val="single" w:sz="4" w:space="0" w:color="D2232A"/>
              <w:right w:val="single" w:sz="4" w:space="0" w:color="FFFFFF" w:themeColor="background1"/>
            </w:tcBorders>
            <w:shd w:val="clear" w:color="auto" w:fill="D2232A"/>
          </w:tcPr>
          <w:p w14:paraId="66724774" w14:textId="77777777" w:rsidR="00466C1D" w:rsidRPr="00EE1E00" w:rsidRDefault="00466C1D" w:rsidP="009F0F19">
            <w:pPr>
              <w:pStyle w:val="ECCParagraph"/>
              <w:spacing w:before="120" w:after="120"/>
              <w:ind w:firstLine="422"/>
              <w:jc w:val="center"/>
              <w:rPr>
                <w:b/>
                <w:color w:val="FFFFFF" w:themeColor="background1"/>
              </w:rPr>
            </w:pPr>
            <w:r w:rsidRPr="00EE1E00">
              <w:rPr>
                <w:b/>
                <w:color w:val="FFFFFF" w:themeColor="background1"/>
              </w:rPr>
              <w:t>Frame A</w:t>
            </w:r>
          </w:p>
        </w:tc>
        <w:tc>
          <w:tcPr>
            <w:tcW w:w="1847" w:type="pct"/>
            <w:gridSpan w:val="3"/>
            <w:tcBorders>
              <w:top w:val="single" w:sz="4" w:space="0" w:color="FFFFFF" w:themeColor="background1"/>
              <w:left w:val="single" w:sz="4" w:space="0" w:color="FFFFFF" w:themeColor="background1"/>
              <w:bottom w:val="single" w:sz="4" w:space="0" w:color="D2232A"/>
              <w:right w:val="single" w:sz="4" w:space="0" w:color="FFFFFF" w:themeColor="background1"/>
            </w:tcBorders>
            <w:shd w:val="clear" w:color="auto" w:fill="D2232A"/>
          </w:tcPr>
          <w:p w14:paraId="492C191D" w14:textId="77777777" w:rsidR="00466C1D" w:rsidRPr="00EE1E00" w:rsidRDefault="00466C1D" w:rsidP="009F0F19">
            <w:pPr>
              <w:pStyle w:val="ECCParagraph"/>
              <w:spacing w:before="120" w:after="120"/>
              <w:ind w:firstLine="422"/>
              <w:jc w:val="center"/>
              <w:rPr>
                <w:b/>
                <w:color w:val="FFFFFF" w:themeColor="background1"/>
              </w:rPr>
            </w:pPr>
            <w:r w:rsidRPr="00EE1E00">
              <w:rPr>
                <w:b/>
                <w:color w:val="FFFFFF" w:themeColor="background1"/>
              </w:rPr>
              <w:t>Frame B</w:t>
            </w:r>
          </w:p>
        </w:tc>
      </w:tr>
      <w:tr w:rsidR="00466C1D" w:rsidRPr="00EE1E00" w14:paraId="1605AC64" w14:textId="77777777" w:rsidTr="009F0F19">
        <w:tc>
          <w:tcPr>
            <w:tcW w:w="1278" w:type="pct"/>
            <w:tcBorders>
              <w:top w:val="single" w:sz="4" w:space="0" w:color="D2232A"/>
              <w:left w:val="single" w:sz="4" w:space="0" w:color="D2232A"/>
              <w:bottom w:val="single" w:sz="4" w:space="0" w:color="D2232A"/>
              <w:right w:val="single" w:sz="4" w:space="0" w:color="D2232A"/>
            </w:tcBorders>
          </w:tcPr>
          <w:p w14:paraId="2562707E" w14:textId="77777777" w:rsidR="00466C1D" w:rsidRPr="00EE1E00" w:rsidRDefault="00466C1D" w:rsidP="009F0F19">
            <w:pPr>
              <w:pStyle w:val="ECCParagraph"/>
              <w:spacing w:before="60" w:after="60"/>
              <w:jc w:val="left"/>
            </w:pPr>
            <w:r w:rsidRPr="00EE1E00">
              <w:t>DL/UL slot pattern</w:t>
            </w:r>
          </w:p>
        </w:tc>
        <w:tc>
          <w:tcPr>
            <w:tcW w:w="1875" w:type="pct"/>
            <w:gridSpan w:val="3"/>
            <w:tcBorders>
              <w:top w:val="single" w:sz="4" w:space="0" w:color="D2232A"/>
              <w:left w:val="single" w:sz="4" w:space="0" w:color="D2232A"/>
              <w:bottom w:val="single" w:sz="4" w:space="0" w:color="D2232A"/>
              <w:right w:val="single" w:sz="4" w:space="0" w:color="D2232A"/>
            </w:tcBorders>
            <w:vAlign w:val="center"/>
          </w:tcPr>
          <w:p w14:paraId="4C824792" w14:textId="77777777" w:rsidR="00466C1D" w:rsidRPr="00EE1E00" w:rsidRDefault="00466C1D" w:rsidP="009F0F19">
            <w:pPr>
              <w:pStyle w:val="ECCParagraph"/>
              <w:spacing w:before="60" w:after="60"/>
              <w:jc w:val="center"/>
            </w:pPr>
            <w:r w:rsidRPr="00EE1E00">
              <w:t>DDDSU DDDSU DDDSU DDDSU</w:t>
            </w:r>
          </w:p>
          <w:p w14:paraId="3D0095EA" w14:textId="77777777" w:rsidR="00466C1D" w:rsidRPr="00EE1E00" w:rsidRDefault="00466C1D" w:rsidP="009F0F19">
            <w:pPr>
              <w:pStyle w:val="ECCParagraph"/>
              <w:spacing w:before="60" w:after="60"/>
              <w:jc w:val="center"/>
            </w:pPr>
            <w:r w:rsidRPr="00EE1E00">
              <w:t>(see note 1)</w:t>
            </w:r>
          </w:p>
        </w:tc>
        <w:tc>
          <w:tcPr>
            <w:tcW w:w="1847" w:type="pct"/>
            <w:gridSpan w:val="3"/>
            <w:tcBorders>
              <w:top w:val="single" w:sz="4" w:space="0" w:color="D2232A"/>
              <w:left w:val="single" w:sz="4" w:space="0" w:color="D2232A"/>
              <w:bottom w:val="single" w:sz="4" w:space="0" w:color="D2232A"/>
              <w:right w:val="single" w:sz="4" w:space="0" w:color="D2232A"/>
            </w:tcBorders>
            <w:vAlign w:val="center"/>
          </w:tcPr>
          <w:p w14:paraId="5A83FEBC" w14:textId="77777777" w:rsidR="00466C1D" w:rsidRPr="00EE1E00" w:rsidRDefault="00466C1D" w:rsidP="009F0F19">
            <w:pPr>
              <w:pStyle w:val="ECCParagraph"/>
              <w:spacing w:before="60" w:after="60"/>
              <w:jc w:val="center"/>
            </w:pPr>
            <w:r w:rsidRPr="00EE1E00">
              <w:t>DDDSUUDDDD DDDSUUDDDD</w:t>
            </w:r>
          </w:p>
          <w:p w14:paraId="14D04C24" w14:textId="77777777" w:rsidR="00466C1D" w:rsidRPr="00EE1E00" w:rsidRDefault="00466C1D" w:rsidP="009F0F19">
            <w:pPr>
              <w:pStyle w:val="ECCParagraph"/>
              <w:spacing w:before="60" w:after="60"/>
              <w:jc w:val="center"/>
            </w:pPr>
            <w:r w:rsidRPr="00EE1E00">
              <w:t>(see notes 1, 4)</w:t>
            </w:r>
          </w:p>
        </w:tc>
      </w:tr>
      <w:tr w:rsidR="00466C1D" w:rsidRPr="00EE1E00" w14:paraId="3CE62568" w14:textId="77777777" w:rsidTr="009F0F19">
        <w:tc>
          <w:tcPr>
            <w:tcW w:w="1278" w:type="pct"/>
            <w:tcBorders>
              <w:top w:val="single" w:sz="4" w:space="0" w:color="D2232A"/>
              <w:left w:val="single" w:sz="4" w:space="0" w:color="D2232A"/>
              <w:bottom w:val="single" w:sz="4" w:space="0" w:color="D2232A"/>
              <w:right w:val="single" w:sz="4" w:space="0" w:color="D2232A"/>
            </w:tcBorders>
          </w:tcPr>
          <w:p w14:paraId="72B32B5A" w14:textId="77777777" w:rsidR="00466C1D" w:rsidRPr="00EE1E00" w:rsidRDefault="00466C1D" w:rsidP="009F0F19">
            <w:pPr>
              <w:pStyle w:val="ECCParagraph"/>
              <w:spacing w:before="60" w:after="60"/>
              <w:jc w:val="left"/>
            </w:pPr>
            <w:r w:rsidRPr="00EE1E00">
              <w:t>Frame duration</w:t>
            </w:r>
          </w:p>
        </w:tc>
        <w:tc>
          <w:tcPr>
            <w:tcW w:w="1875" w:type="pct"/>
            <w:gridSpan w:val="3"/>
            <w:tcBorders>
              <w:top w:val="single" w:sz="4" w:space="0" w:color="D2232A"/>
              <w:left w:val="single" w:sz="4" w:space="0" w:color="D2232A"/>
              <w:bottom w:val="single" w:sz="4" w:space="0" w:color="D2232A"/>
              <w:right w:val="single" w:sz="4" w:space="0" w:color="D2232A"/>
            </w:tcBorders>
            <w:vAlign w:val="center"/>
          </w:tcPr>
          <w:p w14:paraId="5E931048" w14:textId="77777777" w:rsidR="00466C1D" w:rsidRPr="00EE1E00" w:rsidRDefault="00466C1D" w:rsidP="009F0F19">
            <w:pPr>
              <w:pStyle w:val="ECCParagraph"/>
              <w:spacing w:before="60" w:after="60"/>
              <w:jc w:val="center"/>
            </w:pPr>
            <w:r w:rsidRPr="00EE1E00">
              <w:t>10 ms</w:t>
            </w:r>
          </w:p>
        </w:tc>
        <w:tc>
          <w:tcPr>
            <w:tcW w:w="1847" w:type="pct"/>
            <w:gridSpan w:val="3"/>
            <w:tcBorders>
              <w:top w:val="single" w:sz="4" w:space="0" w:color="D2232A"/>
              <w:left w:val="single" w:sz="4" w:space="0" w:color="D2232A"/>
              <w:bottom w:val="single" w:sz="4" w:space="0" w:color="D2232A"/>
              <w:right w:val="single" w:sz="4" w:space="0" w:color="D2232A"/>
            </w:tcBorders>
            <w:vAlign w:val="center"/>
          </w:tcPr>
          <w:p w14:paraId="4AE48C46" w14:textId="77777777" w:rsidR="00466C1D" w:rsidRPr="00EE1E00" w:rsidRDefault="00466C1D" w:rsidP="009F0F19">
            <w:pPr>
              <w:pStyle w:val="ECCParagraph"/>
              <w:spacing w:before="60" w:after="60"/>
              <w:jc w:val="center"/>
            </w:pPr>
            <w:r w:rsidRPr="00EE1E00">
              <w:t>10 ms</w:t>
            </w:r>
          </w:p>
        </w:tc>
      </w:tr>
      <w:tr w:rsidR="00466C1D" w:rsidRPr="00EE1E00" w14:paraId="2FC949C5" w14:textId="77777777" w:rsidTr="009F0F19">
        <w:tc>
          <w:tcPr>
            <w:tcW w:w="1278" w:type="pct"/>
            <w:tcBorders>
              <w:top w:val="single" w:sz="4" w:space="0" w:color="D2232A"/>
              <w:left w:val="single" w:sz="4" w:space="0" w:color="D2232A"/>
              <w:bottom w:val="single" w:sz="4" w:space="0" w:color="D2232A"/>
              <w:right w:val="single" w:sz="4" w:space="0" w:color="D2232A"/>
            </w:tcBorders>
          </w:tcPr>
          <w:p w14:paraId="6435E7A9" w14:textId="77777777" w:rsidR="00466C1D" w:rsidRPr="00EE1E00" w:rsidRDefault="00466C1D" w:rsidP="009F0F19">
            <w:pPr>
              <w:pStyle w:val="ECCParagraph"/>
              <w:spacing w:before="60" w:after="60"/>
              <w:jc w:val="left"/>
            </w:pPr>
            <w:r w:rsidRPr="00EE1E00">
              <w:t>Slot Duration</w:t>
            </w:r>
          </w:p>
        </w:tc>
        <w:tc>
          <w:tcPr>
            <w:tcW w:w="1875" w:type="pct"/>
            <w:gridSpan w:val="3"/>
            <w:tcBorders>
              <w:top w:val="single" w:sz="4" w:space="0" w:color="D2232A"/>
              <w:left w:val="single" w:sz="4" w:space="0" w:color="D2232A"/>
              <w:bottom w:val="single" w:sz="4" w:space="0" w:color="D2232A"/>
              <w:right w:val="single" w:sz="4" w:space="0" w:color="D2232A"/>
            </w:tcBorders>
            <w:vAlign w:val="center"/>
          </w:tcPr>
          <w:p w14:paraId="03053948" w14:textId="77777777" w:rsidR="00466C1D" w:rsidRPr="00EE1E00" w:rsidRDefault="00466C1D" w:rsidP="009F0F19">
            <w:pPr>
              <w:pStyle w:val="ECCParagraph"/>
              <w:spacing w:before="60" w:after="60"/>
              <w:jc w:val="center"/>
            </w:pPr>
            <w:r w:rsidRPr="00EE1E00">
              <w:t>0.5 ms</w:t>
            </w:r>
          </w:p>
        </w:tc>
        <w:tc>
          <w:tcPr>
            <w:tcW w:w="1847" w:type="pct"/>
            <w:gridSpan w:val="3"/>
            <w:tcBorders>
              <w:top w:val="single" w:sz="4" w:space="0" w:color="D2232A"/>
              <w:left w:val="single" w:sz="4" w:space="0" w:color="D2232A"/>
              <w:bottom w:val="single" w:sz="4" w:space="0" w:color="D2232A"/>
              <w:right w:val="single" w:sz="4" w:space="0" w:color="D2232A"/>
            </w:tcBorders>
            <w:vAlign w:val="center"/>
          </w:tcPr>
          <w:p w14:paraId="7A732E6F" w14:textId="77777777" w:rsidR="00466C1D" w:rsidRPr="00EE1E00" w:rsidRDefault="00466C1D" w:rsidP="009F0F19">
            <w:pPr>
              <w:pStyle w:val="ECCParagraph"/>
              <w:spacing w:before="60" w:after="60"/>
              <w:jc w:val="center"/>
            </w:pPr>
            <w:r w:rsidRPr="00EE1E00">
              <w:t>0.5 ms</w:t>
            </w:r>
          </w:p>
        </w:tc>
      </w:tr>
      <w:tr w:rsidR="00466C1D" w:rsidRPr="00EE1E00" w14:paraId="00BEA8AD" w14:textId="77777777" w:rsidTr="009F0F19">
        <w:trPr>
          <w:trHeight w:val="92"/>
        </w:trPr>
        <w:tc>
          <w:tcPr>
            <w:tcW w:w="1278" w:type="pct"/>
            <w:tcBorders>
              <w:top w:val="single" w:sz="4" w:space="0" w:color="D2232A"/>
              <w:left w:val="single" w:sz="4" w:space="0" w:color="D2232A"/>
              <w:bottom w:val="single" w:sz="4" w:space="0" w:color="D2232A"/>
              <w:right w:val="single" w:sz="4" w:space="0" w:color="D2232A"/>
            </w:tcBorders>
          </w:tcPr>
          <w:p w14:paraId="581FD545" w14:textId="77777777" w:rsidR="00466C1D" w:rsidRPr="00EE1E00" w:rsidDel="000E3611" w:rsidRDefault="00466C1D" w:rsidP="009F0F19">
            <w:pPr>
              <w:pStyle w:val="ECCParagraph"/>
              <w:spacing w:before="60" w:after="60"/>
              <w:jc w:val="left"/>
            </w:pPr>
            <w:r w:rsidRPr="00EE1E00">
              <w:t>Slot pattern periodicity</w:t>
            </w:r>
          </w:p>
        </w:tc>
        <w:tc>
          <w:tcPr>
            <w:tcW w:w="1875" w:type="pct"/>
            <w:gridSpan w:val="3"/>
            <w:tcBorders>
              <w:top w:val="single" w:sz="4" w:space="0" w:color="D2232A"/>
              <w:left w:val="single" w:sz="4" w:space="0" w:color="D2232A"/>
              <w:bottom w:val="single" w:sz="4" w:space="0" w:color="D2232A"/>
              <w:right w:val="single" w:sz="4" w:space="0" w:color="D2232A"/>
            </w:tcBorders>
            <w:vAlign w:val="center"/>
          </w:tcPr>
          <w:p w14:paraId="58459593" w14:textId="77777777" w:rsidR="00466C1D" w:rsidRPr="00EE1E00" w:rsidRDefault="00466C1D" w:rsidP="009F0F19">
            <w:pPr>
              <w:pStyle w:val="ECCParagraph"/>
              <w:spacing w:before="60" w:after="60"/>
              <w:jc w:val="center"/>
            </w:pPr>
            <w:r w:rsidRPr="00EE1E00">
              <w:t>2.5 ms</w:t>
            </w:r>
          </w:p>
        </w:tc>
        <w:tc>
          <w:tcPr>
            <w:tcW w:w="1847" w:type="pct"/>
            <w:gridSpan w:val="3"/>
            <w:tcBorders>
              <w:top w:val="single" w:sz="4" w:space="0" w:color="D2232A"/>
              <w:left w:val="single" w:sz="4" w:space="0" w:color="D2232A"/>
              <w:bottom w:val="single" w:sz="4" w:space="0" w:color="D2232A"/>
              <w:right w:val="single" w:sz="4" w:space="0" w:color="D2232A"/>
            </w:tcBorders>
            <w:vAlign w:val="center"/>
          </w:tcPr>
          <w:p w14:paraId="00881C9F" w14:textId="77777777" w:rsidR="00466C1D" w:rsidRPr="00EE1E00" w:rsidRDefault="00466C1D" w:rsidP="009F0F19">
            <w:pPr>
              <w:pStyle w:val="ECCParagraph"/>
              <w:spacing w:before="60" w:after="60"/>
              <w:jc w:val="center"/>
            </w:pPr>
            <w:r w:rsidRPr="00EE1E00">
              <w:t>5 ms</w:t>
            </w:r>
          </w:p>
        </w:tc>
      </w:tr>
      <w:tr w:rsidR="00466C1D" w:rsidRPr="00EE1E00" w14:paraId="67912460" w14:textId="77777777" w:rsidTr="009F0F19">
        <w:tc>
          <w:tcPr>
            <w:tcW w:w="1278" w:type="pct"/>
            <w:vMerge w:val="restart"/>
            <w:tcBorders>
              <w:top w:val="single" w:sz="4" w:space="0" w:color="D2232A"/>
              <w:left w:val="single" w:sz="4" w:space="0" w:color="D2232A"/>
              <w:bottom w:val="single" w:sz="4" w:space="0" w:color="D2232A"/>
              <w:right w:val="single" w:sz="4" w:space="0" w:color="D2232A"/>
            </w:tcBorders>
          </w:tcPr>
          <w:p w14:paraId="2D59AF12" w14:textId="77777777" w:rsidR="00466C1D" w:rsidRPr="00EE1E00" w:rsidRDefault="00466C1D" w:rsidP="009F0F19">
            <w:pPr>
              <w:pStyle w:val="ECCParagraph"/>
              <w:spacing w:before="60" w:after="60"/>
              <w:jc w:val="left"/>
            </w:pPr>
            <w:r w:rsidRPr="00EE1E00">
              <w:t xml:space="preserve">Special slot “S” configuration </w:t>
            </w:r>
          </w:p>
          <w:p w14:paraId="649E09AF" w14:textId="77777777" w:rsidR="00466C1D" w:rsidRPr="00EE1E00" w:rsidRDefault="00466C1D" w:rsidP="009F0F19">
            <w:pPr>
              <w:pStyle w:val="ECCParagraph"/>
              <w:spacing w:before="60" w:after="60"/>
              <w:jc w:val="left"/>
            </w:pPr>
            <w:r w:rsidRPr="00EE1E00">
              <w:t>(i.e., DL:GP:UL symbols)</w:t>
            </w:r>
          </w:p>
        </w:tc>
        <w:tc>
          <w:tcPr>
            <w:tcW w:w="557" w:type="pct"/>
            <w:tcBorders>
              <w:top w:val="single" w:sz="4" w:space="0" w:color="D2232A"/>
              <w:left w:val="single" w:sz="4" w:space="0" w:color="D2232A"/>
              <w:bottom w:val="single" w:sz="4" w:space="0" w:color="D2232A"/>
              <w:right w:val="single" w:sz="4" w:space="0" w:color="D2232A"/>
            </w:tcBorders>
            <w:vAlign w:val="center"/>
          </w:tcPr>
          <w:p w14:paraId="1DE65C59" w14:textId="77777777" w:rsidR="00466C1D" w:rsidRPr="00EE1E00" w:rsidRDefault="00466C1D" w:rsidP="009F0F19">
            <w:pPr>
              <w:pStyle w:val="ECCParagraph"/>
              <w:spacing w:before="60" w:after="60"/>
              <w:jc w:val="center"/>
            </w:pPr>
            <w:r w:rsidRPr="00EE1E00">
              <w:t>Downlink</w:t>
            </w:r>
          </w:p>
        </w:tc>
        <w:tc>
          <w:tcPr>
            <w:tcW w:w="763" w:type="pct"/>
            <w:tcBorders>
              <w:top w:val="single" w:sz="4" w:space="0" w:color="D2232A"/>
              <w:left w:val="single" w:sz="4" w:space="0" w:color="D2232A"/>
              <w:bottom w:val="single" w:sz="4" w:space="0" w:color="D2232A"/>
              <w:right w:val="single" w:sz="4" w:space="0" w:color="D2232A"/>
            </w:tcBorders>
            <w:vAlign w:val="center"/>
          </w:tcPr>
          <w:p w14:paraId="2971955B" w14:textId="77777777" w:rsidR="00466C1D" w:rsidRPr="00EE1E00" w:rsidRDefault="00466C1D" w:rsidP="009F0F19">
            <w:pPr>
              <w:pStyle w:val="ECCParagraph"/>
              <w:spacing w:before="60" w:after="60"/>
              <w:jc w:val="center"/>
            </w:pPr>
            <w:r w:rsidRPr="00EE1E00">
              <w:t>Guard period</w:t>
            </w:r>
          </w:p>
        </w:tc>
        <w:tc>
          <w:tcPr>
            <w:tcW w:w="554" w:type="pct"/>
            <w:tcBorders>
              <w:top w:val="single" w:sz="4" w:space="0" w:color="D2232A"/>
              <w:left w:val="single" w:sz="4" w:space="0" w:color="D2232A"/>
              <w:bottom w:val="single" w:sz="4" w:space="0" w:color="D2232A"/>
              <w:right w:val="single" w:sz="4" w:space="0" w:color="D2232A"/>
            </w:tcBorders>
            <w:vAlign w:val="center"/>
          </w:tcPr>
          <w:p w14:paraId="057B816E" w14:textId="77777777" w:rsidR="00466C1D" w:rsidRPr="00EE1E00" w:rsidRDefault="00466C1D" w:rsidP="009F0F19">
            <w:pPr>
              <w:pStyle w:val="ECCParagraph"/>
              <w:spacing w:before="60" w:after="60"/>
              <w:jc w:val="center"/>
            </w:pPr>
            <w:r w:rsidRPr="00EE1E00">
              <w:t>Uplink</w:t>
            </w:r>
          </w:p>
        </w:tc>
        <w:tc>
          <w:tcPr>
            <w:tcW w:w="618" w:type="pct"/>
            <w:tcBorders>
              <w:top w:val="single" w:sz="4" w:space="0" w:color="D2232A"/>
              <w:left w:val="single" w:sz="4" w:space="0" w:color="D2232A"/>
              <w:bottom w:val="single" w:sz="4" w:space="0" w:color="D2232A"/>
              <w:right w:val="single" w:sz="4" w:space="0" w:color="D2232A"/>
            </w:tcBorders>
            <w:vAlign w:val="center"/>
          </w:tcPr>
          <w:p w14:paraId="6E21035E" w14:textId="77777777" w:rsidR="00466C1D" w:rsidRPr="00EE1E00" w:rsidRDefault="00466C1D" w:rsidP="009F0F19">
            <w:pPr>
              <w:pStyle w:val="ECCParagraph"/>
              <w:spacing w:before="60" w:after="60"/>
              <w:jc w:val="center"/>
            </w:pPr>
            <w:r w:rsidRPr="00EE1E00">
              <w:t>Downlink</w:t>
            </w:r>
          </w:p>
        </w:tc>
        <w:tc>
          <w:tcPr>
            <w:tcW w:w="812" w:type="pct"/>
            <w:tcBorders>
              <w:top w:val="single" w:sz="4" w:space="0" w:color="D2232A"/>
              <w:left w:val="single" w:sz="4" w:space="0" w:color="D2232A"/>
              <w:bottom w:val="single" w:sz="4" w:space="0" w:color="D2232A"/>
              <w:right w:val="single" w:sz="4" w:space="0" w:color="D2232A"/>
            </w:tcBorders>
            <w:vAlign w:val="center"/>
          </w:tcPr>
          <w:p w14:paraId="038B2603" w14:textId="77777777" w:rsidR="00466C1D" w:rsidRPr="00EE1E00" w:rsidRDefault="00466C1D" w:rsidP="009F0F19">
            <w:pPr>
              <w:pStyle w:val="ECCParagraph"/>
              <w:spacing w:after="0"/>
              <w:jc w:val="center"/>
            </w:pPr>
            <w:r w:rsidRPr="00EE1E00">
              <w:t>Guard period</w:t>
            </w:r>
          </w:p>
          <w:p w14:paraId="0C3DF41F" w14:textId="77777777" w:rsidR="00466C1D" w:rsidRPr="00EE1E00" w:rsidRDefault="00466C1D" w:rsidP="009F0F19">
            <w:pPr>
              <w:pStyle w:val="ECCParagraph"/>
              <w:spacing w:after="0"/>
              <w:jc w:val="center"/>
            </w:pPr>
            <w:r w:rsidRPr="00EE1E00">
              <w:t>(note 5)</w:t>
            </w:r>
          </w:p>
        </w:tc>
        <w:tc>
          <w:tcPr>
            <w:tcW w:w="417" w:type="pct"/>
            <w:tcBorders>
              <w:top w:val="single" w:sz="4" w:space="0" w:color="D2232A"/>
              <w:left w:val="single" w:sz="4" w:space="0" w:color="D2232A"/>
              <w:bottom w:val="single" w:sz="4" w:space="0" w:color="D2232A"/>
              <w:right w:val="single" w:sz="4" w:space="0" w:color="D2232A"/>
            </w:tcBorders>
            <w:vAlign w:val="center"/>
          </w:tcPr>
          <w:p w14:paraId="3FCAF120" w14:textId="77777777" w:rsidR="00466C1D" w:rsidRPr="00EE1E00" w:rsidRDefault="00466C1D" w:rsidP="009F0F19">
            <w:pPr>
              <w:pStyle w:val="ECCParagraph"/>
              <w:spacing w:before="60" w:after="60"/>
              <w:jc w:val="center"/>
            </w:pPr>
            <w:r w:rsidRPr="00EE1E00">
              <w:t>Uplink</w:t>
            </w:r>
          </w:p>
        </w:tc>
      </w:tr>
      <w:tr w:rsidR="00466C1D" w:rsidRPr="00EE1E00" w14:paraId="7FA2FB0D" w14:textId="77777777" w:rsidTr="009F0F19">
        <w:trPr>
          <w:trHeight w:val="345"/>
        </w:trPr>
        <w:tc>
          <w:tcPr>
            <w:tcW w:w="1278" w:type="pct"/>
            <w:vMerge/>
            <w:tcBorders>
              <w:top w:val="single" w:sz="4" w:space="0" w:color="D2232A"/>
              <w:left w:val="single" w:sz="4" w:space="0" w:color="D2232A"/>
              <w:bottom w:val="single" w:sz="4" w:space="0" w:color="D2232A"/>
              <w:right w:val="single" w:sz="4" w:space="0" w:color="D2232A"/>
            </w:tcBorders>
          </w:tcPr>
          <w:p w14:paraId="462D6937" w14:textId="77777777" w:rsidR="00466C1D" w:rsidRPr="00EE1E00" w:rsidRDefault="00466C1D" w:rsidP="009F0F19">
            <w:pPr>
              <w:pStyle w:val="ECCParagraph"/>
              <w:spacing w:before="60" w:after="60"/>
              <w:jc w:val="left"/>
            </w:pPr>
          </w:p>
        </w:tc>
        <w:tc>
          <w:tcPr>
            <w:tcW w:w="557" w:type="pct"/>
            <w:vMerge w:val="restart"/>
            <w:tcBorders>
              <w:top w:val="single" w:sz="4" w:space="0" w:color="D2232A"/>
              <w:left w:val="single" w:sz="4" w:space="0" w:color="D2232A"/>
              <w:bottom w:val="single" w:sz="4" w:space="0" w:color="D2232A"/>
              <w:right w:val="single" w:sz="4" w:space="0" w:color="D2232A"/>
            </w:tcBorders>
            <w:vAlign w:val="center"/>
          </w:tcPr>
          <w:p w14:paraId="572A43DD" w14:textId="77777777" w:rsidR="00466C1D" w:rsidRPr="00EE1E00" w:rsidRDefault="00466C1D" w:rsidP="009F0F19">
            <w:pPr>
              <w:pStyle w:val="ECCParagraph"/>
              <w:spacing w:before="60" w:after="60"/>
              <w:jc w:val="center"/>
            </w:pPr>
            <w:r w:rsidRPr="00EE1E00">
              <w:t>10</w:t>
            </w:r>
          </w:p>
        </w:tc>
        <w:tc>
          <w:tcPr>
            <w:tcW w:w="763" w:type="pct"/>
            <w:vMerge w:val="restart"/>
            <w:tcBorders>
              <w:top w:val="single" w:sz="4" w:space="0" w:color="D2232A"/>
              <w:left w:val="single" w:sz="4" w:space="0" w:color="D2232A"/>
              <w:bottom w:val="single" w:sz="4" w:space="0" w:color="D2232A"/>
              <w:right w:val="single" w:sz="4" w:space="0" w:color="D2232A"/>
            </w:tcBorders>
            <w:vAlign w:val="center"/>
          </w:tcPr>
          <w:p w14:paraId="0B7A49CF" w14:textId="77777777" w:rsidR="00466C1D" w:rsidRPr="00EE1E00" w:rsidRDefault="00466C1D" w:rsidP="009F0F19">
            <w:pPr>
              <w:pStyle w:val="ECCParagraph"/>
              <w:spacing w:before="60" w:after="60"/>
              <w:jc w:val="center"/>
            </w:pPr>
            <w:r w:rsidRPr="00EE1E00">
              <w:t>2</w:t>
            </w:r>
          </w:p>
        </w:tc>
        <w:tc>
          <w:tcPr>
            <w:tcW w:w="554" w:type="pct"/>
            <w:vMerge w:val="restart"/>
            <w:tcBorders>
              <w:top w:val="single" w:sz="4" w:space="0" w:color="D2232A"/>
              <w:left w:val="single" w:sz="4" w:space="0" w:color="D2232A"/>
              <w:bottom w:val="single" w:sz="4" w:space="0" w:color="D2232A"/>
              <w:right w:val="single" w:sz="4" w:space="0" w:color="D2232A"/>
            </w:tcBorders>
            <w:vAlign w:val="center"/>
          </w:tcPr>
          <w:p w14:paraId="6D6E397A" w14:textId="77777777" w:rsidR="00466C1D" w:rsidRPr="00EE1E00" w:rsidRDefault="00466C1D" w:rsidP="009F0F19">
            <w:pPr>
              <w:pStyle w:val="ECCParagraph"/>
              <w:spacing w:before="60" w:after="60"/>
              <w:jc w:val="center"/>
            </w:pPr>
            <w:r w:rsidRPr="00EE1E00">
              <w:t>2</w:t>
            </w:r>
          </w:p>
        </w:tc>
        <w:tc>
          <w:tcPr>
            <w:tcW w:w="618" w:type="pct"/>
            <w:tcBorders>
              <w:top w:val="single" w:sz="4" w:space="0" w:color="D2232A"/>
              <w:left w:val="single" w:sz="4" w:space="0" w:color="D2232A"/>
              <w:bottom w:val="single" w:sz="4" w:space="0" w:color="D2232A"/>
              <w:right w:val="single" w:sz="4" w:space="0" w:color="D2232A"/>
            </w:tcBorders>
            <w:vAlign w:val="center"/>
          </w:tcPr>
          <w:p w14:paraId="389FEEC3" w14:textId="77777777" w:rsidR="00466C1D" w:rsidRPr="00EE1E00" w:rsidRDefault="00466C1D" w:rsidP="009F0F19">
            <w:pPr>
              <w:pStyle w:val="ECCParagraph"/>
              <w:spacing w:before="60" w:after="60"/>
              <w:jc w:val="center"/>
            </w:pPr>
            <w:r w:rsidRPr="00EE1E00">
              <w:t>6</w:t>
            </w:r>
          </w:p>
        </w:tc>
        <w:tc>
          <w:tcPr>
            <w:tcW w:w="812" w:type="pct"/>
            <w:tcBorders>
              <w:top w:val="single" w:sz="4" w:space="0" w:color="D2232A"/>
              <w:left w:val="single" w:sz="4" w:space="0" w:color="D2232A"/>
              <w:bottom w:val="single" w:sz="4" w:space="0" w:color="D2232A"/>
              <w:right w:val="single" w:sz="4" w:space="0" w:color="D2232A"/>
            </w:tcBorders>
            <w:vAlign w:val="center"/>
          </w:tcPr>
          <w:p w14:paraId="6A9788FA" w14:textId="77777777" w:rsidR="00466C1D" w:rsidRPr="00EE1E00" w:rsidRDefault="00466C1D" w:rsidP="009F0F19">
            <w:pPr>
              <w:pStyle w:val="ECCParagraph"/>
              <w:spacing w:before="60" w:after="60"/>
              <w:jc w:val="center"/>
            </w:pPr>
            <w:r w:rsidRPr="00EE1E00">
              <w:t>4</w:t>
            </w:r>
          </w:p>
        </w:tc>
        <w:tc>
          <w:tcPr>
            <w:tcW w:w="417" w:type="pct"/>
            <w:tcBorders>
              <w:top w:val="single" w:sz="4" w:space="0" w:color="D2232A"/>
              <w:left w:val="single" w:sz="4" w:space="0" w:color="D2232A"/>
              <w:bottom w:val="single" w:sz="4" w:space="0" w:color="D2232A"/>
              <w:right w:val="single" w:sz="4" w:space="0" w:color="D2232A"/>
            </w:tcBorders>
            <w:vAlign w:val="center"/>
          </w:tcPr>
          <w:p w14:paraId="526ECC5D" w14:textId="77777777" w:rsidR="00466C1D" w:rsidRPr="00EE1E00" w:rsidRDefault="00466C1D" w:rsidP="009F0F19">
            <w:pPr>
              <w:pStyle w:val="ECCParagraph"/>
              <w:spacing w:before="60" w:after="60"/>
              <w:jc w:val="center"/>
            </w:pPr>
            <w:r w:rsidRPr="00EE1E00">
              <w:t>4</w:t>
            </w:r>
          </w:p>
        </w:tc>
      </w:tr>
      <w:tr w:rsidR="00466C1D" w:rsidRPr="00EE1E00" w14:paraId="1EE696F8" w14:textId="77777777" w:rsidTr="009F0F19">
        <w:trPr>
          <w:trHeight w:val="480"/>
        </w:trPr>
        <w:tc>
          <w:tcPr>
            <w:tcW w:w="1278" w:type="pct"/>
            <w:vMerge/>
            <w:tcBorders>
              <w:top w:val="single" w:sz="4" w:space="0" w:color="D2232A"/>
              <w:left w:val="single" w:sz="4" w:space="0" w:color="D2232A"/>
              <w:bottom w:val="single" w:sz="4" w:space="0" w:color="D2232A"/>
              <w:right w:val="single" w:sz="4" w:space="0" w:color="D2232A"/>
            </w:tcBorders>
          </w:tcPr>
          <w:p w14:paraId="2A8617D0" w14:textId="77777777" w:rsidR="00466C1D" w:rsidRPr="00EE1E00" w:rsidRDefault="00466C1D" w:rsidP="009F0F19">
            <w:pPr>
              <w:pStyle w:val="ECCParagraph"/>
              <w:spacing w:before="60" w:after="60"/>
              <w:jc w:val="left"/>
            </w:pPr>
          </w:p>
        </w:tc>
        <w:tc>
          <w:tcPr>
            <w:tcW w:w="557" w:type="pct"/>
            <w:vMerge/>
            <w:tcBorders>
              <w:top w:val="single" w:sz="4" w:space="0" w:color="D2232A"/>
              <w:left w:val="single" w:sz="4" w:space="0" w:color="D2232A"/>
              <w:bottom w:val="single" w:sz="4" w:space="0" w:color="D2232A"/>
              <w:right w:val="single" w:sz="4" w:space="0" w:color="D2232A"/>
            </w:tcBorders>
            <w:vAlign w:val="center"/>
          </w:tcPr>
          <w:p w14:paraId="754C443A" w14:textId="77777777" w:rsidR="00466C1D" w:rsidRPr="00EE1E00" w:rsidRDefault="00466C1D" w:rsidP="009F0F19">
            <w:pPr>
              <w:pStyle w:val="ECCParagraph"/>
              <w:spacing w:before="60" w:after="60"/>
              <w:jc w:val="center"/>
            </w:pPr>
          </w:p>
        </w:tc>
        <w:tc>
          <w:tcPr>
            <w:tcW w:w="763" w:type="pct"/>
            <w:vMerge/>
            <w:tcBorders>
              <w:top w:val="single" w:sz="4" w:space="0" w:color="D2232A"/>
              <w:left w:val="single" w:sz="4" w:space="0" w:color="D2232A"/>
              <w:bottom w:val="single" w:sz="4" w:space="0" w:color="D2232A"/>
              <w:right w:val="single" w:sz="4" w:space="0" w:color="D2232A"/>
            </w:tcBorders>
            <w:vAlign w:val="center"/>
          </w:tcPr>
          <w:p w14:paraId="09E251B8" w14:textId="77777777" w:rsidR="00466C1D" w:rsidRPr="00EE1E00" w:rsidRDefault="00466C1D" w:rsidP="009F0F19">
            <w:pPr>
              <w:pStyle w:val="ECCParagraph"/>
              <w:spacing w:before="60" w:after="60"/>
              <w:jc w:val="center"/>
            </w:pPr>
          </w:p>
        </w:tc>
        <w:tc>
          <w:tcPr>
            <w:tcW w:w="554" w:type="pct"/>
            <w:vMerge/>
            <w:tcBorders>
              <w:top w:val="single" w:sz="4" w:space="0" w:color="D2232A"/>
              <w:left w:val="single" w:sz="4" w:space="0" w:color="D2232A"/>
              <w:bottom w:val="single" w:sz="4" w:space="0" w:color="D2232A"/>
              <w:right w:val="single" w:sz="4" w:space="0" w:color="D2232A"/>
            </w:tcBorders>
            <w:vAlign w:val="center"/>
          </w:tcPr>
          <w:p w14:paraId="4A65C201" w14:textId="77777777" w:rsidR="00466C1D" w:rsidRPr="00EE1E00" w:rsidRDefault="00466C1D" w:rsidP="009F0F19">
            <w:pPr>
              <w:pStyle w:val="ECCParagraph"/>
              <w:spacing w:before="60" w:after="60"/>
              <w:jc w:val="center"/>
            </w:pPr>
          </w:p>
        </w:tc>
        <w:tc>
          <w:tcPr>
            <w:tcW w:w="618" w:type="pct"/>
            <w:tcBorders>
              <w:top w:val="single" w:sz="4" w:space="0" w:color="D2232A"/>
              <w:left w:val="single" w:sz="4" w:space="0" w:color="D2232A"/>
              <w:bottom w:val="single" w:sz="4" w:space="0" w:color="D2232A"/>
              <w:right w:val="single" w:sz="4" w:space="0" w:color="D2232A"/>
            </w:tcBorders>
            <w:vAlign w:val="center"/>
          </w:tcPr>
          <w:p w14:paraId="3CD0891D" w14:textId="77777777" w:rsidR="00466C1D" w:rsidRPr="00EE1E00" w:rsidRDefault="00466C1D" w:rsidP="009F0F19">
            <w:pPr>
              <w:pStyle w:val="ECCParagraph"/>
              <w:spacing w:before="60" w:after="60"/>
              <w:jc w:val="center"/>
            </w:pPr>
            <w:r w:rsidRPr="00EE1E00">
              <w:t>4</w:t>
            </w:r>
          </w:p>
        </w:tc>
        <w:tc>
          <w:tcPr>
            <w:tcW w:w="812" w:type="pct"/>
            <w:tcBorders>
              <w:top w:val="single" w:sz="4" w:space="0" w:color="D2232A"/>
              <w:left w:val="single" w:sz="4" w:space="0" w:color="D2232A"/>
              <w:bottom w:val="single" w:sz="4" w:space="0" w:color="D2232A"/>
              <w:right w:val="single" w:sz="4" w:space="0" w:color="D2232A"/>
            </w:tcBorders>
            <w:vAlign w:val="center"/>
          </w:tcPr>
          <w:p w14:paraId="2728F4D4" w14:textId="77777777" w:rsidR="00466C1D" w:rsidRPr="00EE1E00" w:rsidRDefault="00466C1D" w:rsidP="009F0F19">
            <w:pPr>
              <w:pStyle w:val="ECCParagraph"/>
              <w:spacing w:before="60" w:after="60"/>
              <w:jc w:val="center"/>
            </w:pPr>
            <w:r w:rsidRPr="00EE1E00">
              <w:t>6</w:t>
            </w:r>
          </w:p>
        </w:tc>
        <w:tc>
          <w:tcPr>
            <w:tcW w:w="417" w:type="pct"/>
            <w:tcBorders>
              <w:top w:val="single" w:sz="4" w:space="0" w:color="D2232A"/>
              <w:left w:val="single" w:sz="4" w:space="0" w:color="D2232A"/>
              <w:bottom w:val="single" w:sz="4" w:space="0" w:color="D2232A"/>
              <w:right w:val="single" w:sz="4" w:space="0" w:color="D2232A"/>
            </w:tcBorders>
            <w:vAlign w:val="center"/>
          </w:tcPr>
          <w:p w14:paraId="694533F1" w14:textId="77777777" w:rsidR="00466C1D" w:rsidRPr="00EE1E00" w:rsidRDefault="00466C1D" w:rsidP="009F0F19">
            <w:pPr>
              <w:pStyle w:val="ECCParagraph"/>
              <w:spacing w:before="60" w:after="60"/>
              <w:jc w:val="center"/>
            </w:pPr>
            <w:r w:rsidRPr="00EE1E00">
              <w:t>4</w:t>
            </w:r>
          </w:p>
        </w:tc>
      </w:tr>
      <w:tr w:rsidR="00466C1D" w:rsidRPr="00EE1E00" w14:paraId="73EFAB5E" w14:textId="77777777" w:rsidTr="009F0F19">
        <w:tc>
          <w:tcPr>
            <w:tcW w:w="1278" w:type="pct"/>
            <w:tcBorders>
              <w:top w:val="single" w:sz="4" w:space="0" w:color="D2232A"/>
              <w:left w:val="single" w:sz="4" w:space="0" w:color="D2232A"/>
              <w:bottom w:val="single" w:sz="4" w:space="0" w:color="D2232A"/>
              <w:right w:val="single" w:sz="4" w:space="0" w:color="D2232A"/>
            </w:tcBorders>
          </w:tcPr>
          <w:p w14:paraId="0F3A6996" w14:textId="77777777" w:rsidR="00466C1D" w:rsidRPr="00EE1E00" w:rsidRDefault="00466C1D" w:rsidP="009F0F19">
            <w:pPr>
              <w:pStyle w:val="ECCParagraph"/>
              <w:spacing w:before="60" w:after="60"/>
              <w:jc w:val="left"/>
            </w:pPr>
            <w:r w:rsidRPr="00EE1E00">
              <w:lastRenderedPageBreak/>
              <w:t>Time base (see note 3)</w:t>
            </w:r>
          </w:p>
        </w:tc>
        <w:tc>
          <w:tcPr>
            <w:tcW w:w="1875" w:type="pct"/>
            <w:gridSpan w:val="3"/>
            <w:tcBorders>
              <w:top w:val="single" w:sz="4" w:space="0" w:color="D2232A"/>
              <w:left w:val="single" w:sz="4" w:space="0" w:color="D2232A"/>
              <w:bottom w:val="single" w:sz="4" w:space="0" w:color="D2232A"/>
              <w:right w:val="single" w:sz="4" w:space="0" w:color="D2232A"/>
            </w:tcBorders>
            <w:vAlign w:val="center"/>
          </w:tcPr>
          <w:p w14:paraId="4EF14987" w14:textId="77777777" w:rsidR="00466C1D" w:rsidRPr="00EE1E00" w:rsidRDefault="00466C1D" w:rsidP="009F0F19">
            <w:pPr>
              <w:pStyle w:val="ECCParagraph"/>
              <w:spacing w:before="60" w:after="60"/>
              <w:jc w:val="center"/>
            </w:pPr>
            <w:r w:rsidRPr="00E020B0">
              <w:t>Start of UTC second epoch</w:t>
            </w:r>
            <w:r>
              <w:t xml:space="preserve"> </w:t>
            </w:r>
            <w:r w:rsidRPr="00EE1E00">
              <w:t>(see note 2) +/- 1.5 µs</w:t>
            </w:r>
          </w:p>
        </w:tc>
        <w:tc>
          <w:tcPr>
            <w:tcW w:w="1847" w:type="pct"/>
            <w:gridSpan w:val="3"/>
            <w:tcBorders>
              <w:top w:val="single" w:sz="4" w:space="0" w:color="D2232A"/>
              <w:left w:val="single" w:sz="4" w:space="0" w:color="D2232A"/>
              <w:bottom w:val="single" w:sz="4" w:space="0" w:color="D2232A"/>
              <w:right w:val="single" w:sz="4" w:space="0" w:color="D2232A"/>
            </w:tcBorders>
            <w:vAlign w:val="center"/>
          </w:tcPr>
          <w:p w14:paraId="199E9610" w14:textId="77777777" w:rsidR="00466C1D" w:rsidRPr="00EE1E00" w:rsidRDefault="00466C1D" w:rsidP="009F0F19">
            <w:pPr>
              <w:pStyle w:val="ECCParagraph"/>
              <w:spacing w:before="60" w:after="60"/>
              <w:jc w:val="center"/>
            </w:pPr>
            <w:r w:rsidRPr="00E020B0">
              <w:t>Start of UTC second epoch (see note 2) +/- 1.5 µs</w:t>
            </w:r>
          </w:p>
        </w:tc>
      </w:tr>
      <w:tr w:rsidR="00466C1D" w:rsidRPr="00EE1E00" w14:paraId="2191C69B" w14:textId="77777777" w:rsidTr="009F0F19">
        <w:tc>
          <w:tcPr>
            <w:tcW w:w="5000" w:type="pct"/>
            <w:gridSpan w:val="7"/>
            <w:tcBorders>
              <w:top w:val="single" w:sz="4" w:space="0" w:color="D2232A"/>
              <w:left w:val="single" w:sz="4" w:space="0" w:color="D2232A"/>
              <w:bottom w:val="single" w:sz="4" w:space="0" w:color="D2232A"/>
              <w:right w:val="single" w:sz="4" w:space="0" w:color="D2232A"/>
            </w:tcBorders>
          </w:tcPr>
          <w:p w14:paraId="4C8E20E5" w14:textId="77777777" w:rsidR="00466C1D" w:rsidRPr="00EE1E00" w:rsidRDefault="00466C1D" w:rsidP="009F0F19">
            <w:pPr>
              <w:pStyle w:val="ECCTablenote"/>
              <w:rPr>
                <w:highlight w:val="green"/>
              </w:rPr>
            </w:pPr>
            <w:r w:rsidRPr="00EE1E00">
              <w:t xml:space="preserve">Note 1: D </w:t>
            </w:r>
            <w:r w:rsidRPr="00E020B0">
              <w:t>= Downlink slot; S = Special</w:t>
            </w:r>
            <w:r w:rsidRPr="00EE1E00">
              <w:t xml:space="preserve"> slot; U = Uplink slot </w:t>
            </w:r>
          </w:p>
          <w:p w14:paraId="0390D2D4" w14:textId="77777777" w:rsidR="00466C1D" w:rsidRPr="00EE1E00" w:rsidRDefault="00466C1D" w:rsidP="009F0F19">
            <w:pPr>
              <w:pStyle w:val="ECCTablenote"/>
            </w:pPr>
            <w:r w:rsidRPr="00EE1E00">
              <w:t xml:space="preserve">Note 2: UTC = Coordinated Universal Time in accordance with Recommendation ITU-R TF.460 </w:t>
            </w:r>
            <w:r>
              <w:fldChar w:fldCharType="begin"/>
            </w:r>
            <w:r>
              <w:instrText xml:space="preserve"> REF _Ref52788162 \r \h  \* MERGEFORMAT </w:instrText>
            </w:r>
            <w:r>
              <w:fldChar w:fldCharType="separate"/>
            </w:r>
            <w:r>
              <w:t>[5]</w:t>
            </w:r>
            <w:r>
              <w:fldChar w:fldCharType="end"/>
            </w:r>
            <w:r w:rsidRPr="00566CB2">
              <w:t>.</w:t>
            </w:r>
            <w:r w:rsidRPr="00EE1E00">
              <w:t xml:space="preserve"> The typical measuring signal is 1 pps (pulse-per-second) signal from the clock device with the rising-edge materializing the exact second epoch.</w:t>
            </w:r>
          </w:p>
          <w:p w14:paraId="65F4B620" w14:textId="77777777" w:rsidR="00466C1D" w:rsidRPr="00EE1E00" w:rsidRDefault="00466C1D" w:rsidP="009F0F19">
            <w:pPr>
              <w:pStyle w:val="ECCTablenote"/>
            </w:pPr>
            <w:r w:rsidRPr="00EE1E00">
              <w:t>Note 3: The start of frame (defined as the beginning of the first slot in the UL/DL pattern of the Table 1) has to be phase-synchronised with the time base.</w:t>
            </w:r>
            <w:r w:rsidRPr="00B8401F">
              <w:t xml:space="preserve"> </w:t>
            </w:r>
            <w:r>
              <w:t>T</w:t>
            </w:r>
            <w:r w:rsidRPr="00E020B0">
              <w:t xml:space="preserve">he start of the radio frame on the output shall be synchronous with the input time reference, i.e., when an UTC traceable reference is required, the start of the radio frame shall be aligned with the start time of the </w:t>
            </w:r>
            <w:r w:rsidRPr="00E020B0">
              <w:rPr>
                <w:iCs/>
              </w:rPr>
              <w:t xml:space="preserve">UTC </w:t>
            </w:r>
            <w:r w:rsidRPr="00E020B0">
              <w:t>second epoch. A configurable time-offset of start frame shall be supported by all base stations in synchronized TDD-unicast areas in order to achieve interoperability in coexistence scenarios.</w:t>
            </w:r>
          </w:p>
          <w:p w14:paraId="77FBE2C8" w14:textId="77777777" w:rsidR="00466C1D" w:rsidRPr="00EE1E00" w:rsidRDefault="00466C1D" w:rsidP="009F0F19">
            <w:pPr>
              <w:pStyle w:val="ECCTablenote"/>
            </w:pPr>
            <w:r w:rsidRPr="00EE1E00">
              <w:t xml:space="preserve">Note 4: In terms of DL/UL slot pattern DDDSUUDDDD </w:t>
            </w:r>
            <w:r w:rsidRPr="00EE1E00">
              <w:rPr>
                <w:rFonts w:cs="Arial"/>
              </w:rPr>
              <w:t>half-frame B</w:t>
            </w:r>
            <w:r w:rsidRPr="00EE1E00">
              <w:t xml:space="preserve"> is equivalent to the DDDDDDDSUU </w:t>
            </w:r>
            <w:r w:rsidRPr="00EE1E00">
              <w:rPr>
                <w:rFonts w:cs="Arial"/>
              </w:rPr>
              <w:t xml:space="preserve">half-frame </w:t>
            </w:r>
            <w:r w:rsidRPr="00EE1E00">
              <w:t xml:space="preserve">when a -2 ms or +3 ms time offset is applied. This means that, instead of frame B, operators may choose to implement </w:t>
            </w:r>
            <w:r w:rsidRPr="00EE1E00">
              <w:rPr>
                <w:rFonts w:cs="Arial"/>
              </w:rPr>
              <w:t>two consecutive DDDDDDDSUU half-frames</w:t>
            </w:r>
            <w:r w:rsidRPr="00EE1E00">
              <w:t xml:space="preserve"> with proper time offset. </w:t>
            </w:r>
          </w:p>
          <w:p w14:paraId="153807D9" w14:textId="77777777" w:rsidR="00466C1D" w:rsidRPr="00EE1E00" w:rsidRDefault="00466C1D" w:rsidP="009F0F19">
            <w:pPr>
              <w:pStyle w:val="ECCTablenote"/>
            </w:pPr>
            <w:r w:rsidRPr="00EE1E00">
              <w:t xml:space="preserve">Note 5: </w:t>
            </w:r>
            <w:r w:rsidRPr="00EE1E00">
              <w:rPr>
                <w:rStyle w:val="author-a-z83zuyz73zvimm6z74zz80zcz73zz72zz73zb"/>
              </w:rPr>
              <w:t>As mentioned in considering (h), different guard period sizes can still be implemen</w:t>
            </w:r>
            <w:r w:rsidRPr="00EE1E00">
              <w:rPr>
                <w:rStyle w:val="author-a-uxz69zz81z6z90zz74zfxfu730ox"/>
              </w:rPr>
              <w:t>t</w:t>
            </w:r>
            <w:r w:rsidRPr="00EE1E00">
              <w:rPr>
                <w:rStyle w:val="author-a-z83zuyz73zvimm6z74zz80zcz73zz72zz73zb"/>
              </w:rPr>
              <w:t>ed while retaining synchronised operation. It</w:t>
            </w:r>
            <w:r w:rsidRPr="00EE1E00">
              <w:t xml:space="preserve"> should be noted that the size of the guard period defines a </w:t>
            </w:r>
            <w:r w:rsidRPr="00E020B0">
              <w:t>corresponding geographical area</w:t>
            </w:r>
            <w:r w:rsidRPr="00EE1E00">
              <w:t xml:space="preserve"> where synchronised operation is effective. Increasing this guard period also increases the size of the synchronised area at the expense of some capacity loss and may contribute to solve some specific interference issues between far-away sites in line-of</w:t>
            </w:r>
            <w:r w:rsidRPr="00EE1E00">
              <w:rPr>
                <w:rStyle w:val="author-a-z83zuyz73zvimm6z74zz80zcz73zz72zz73zb"/>
              </w:rPr>
              <w:t>-sight with exceptional propagation conditions.</w:t>
            </w:r>
          </w:p>
        </w:tc>
      </w:tr>
    </w:tbl>
    <w:p w14:paraId="3761CE8F" w14:textId="1FDC8677" w:rsidR="0081781A" w:rsidRDefault="0081781A" w:rsidP="001462F9">
      <w:pPr>
        <w:rPr>
          <w:rFonts w:ascii="Times New Roman" w:hAnsi="Times New Roman" w:cs="Times New Roman"/>
          <w:sz w:val="20"/>
          <w:szCs w:val="20"/>
        </w:rPr>
      </w:pPr>
    </w:p>
    <w:p w14:paraId="4D675934" w14:textId="2A815AB9" w:rsidR="001462F9" w:rsidRDefault="00F276ED" w:rsidP="001462F9">
      <w:pPr>
        <w:rPr>
          <w:rFonts w:ascii="Times New Roman" w:hAnsi="Times New Roman" w:cs="Times New Roman"/>
          <w:b/>
          <w:bCs/>
          <w:sz w:val="20"/>
          <w:szCs w:val="20"/>
        </w:rPr>
      </w:pPr>
      <w:r>
        <w:rPr>
          <w:rFonts w:ascii="Times New Roman" w:hAnsi="Times New Roman" w:cs="Times New Roman"/>
          <w:b/>
          <w:bCs/>
          <w:sz w:val="20"/>
          <w:szCs w:val="20"/>
        </w:rPr>
        <w:t>Observation 2</w:t>
      </w:r>
      <w:r w:rsidR="0081781A" w:rsidRPr="0081781A">
        <w:rPr>
          <w:rFonts w:ascii="Times New Roman" w:hAnsi="Times New Roman" w:cs="Times New Roman"/>
          <w:b/>
          <w:bCs/>
          <w:sz w:val="20"/>
          <w:szCs w:val="20"/>
        </w:rPr>
        <w:t xml:space="preserve">: </w:t>
      </w:r>
      <w:r>
        <w:rPr>
          <w:rFonts w:ascii="Times New Roman" w:hAnsi="Times New Roman" w:cs="Times New Roman"/>
          <w:b/>
          <w:bCs/>
          <w:sz w:val="20"/>
          <w:szCs w:val="20"/>
        </w:rPr>
        <w:t>Several frame structures for</w:t>
      </w:r>
      <w:r w:rsidRPr="00F276ED">
        <w:rPr>
          <w:rFonts w:ascii="Times New Roman" w:hAnsi="Times New Roman" w:cs="Times New Roman"/>
          <w:b/>
          <w:bCs/>
          <w:sz w:val="20"/>
          <w:szCs w:val="20"/>
        </w:rPr>
        <w:t xml:space="preserve"> TDD MFCN</w:t>
      </w:r>
      <w:r>
        <w:rPr>
          <w:rFonts w:ascii="Times New Roman" w:hAnsi="Times New Roman" w:cs="Times New Roman"/>
          <w:b/>
          <w:bCs/>
          <w:sz w:val="20"/>
          <w:szCs w:val="20"/>
        </w:rPr>
        <w:t xml:space="preserve"> </w:t>
      </w:r>
      <w:r w:rsidR="0053798D">
        <w:rPr>
          <w:rFonts w:ascii="Times New Roman" w:hAnsi="Times New Roman" w:cs="Times New Roman"/>
          <w:b/>
          <w:bCs/>
          <w:sz w:val="20"/>
          <w:szCs w:val="20"/>
        </w:rPr>
        <w:t xml:space="preserve">networks </w:t>
      </w:r>
      <w:r>
        <w:rPr>
          <w:rFonts w:ascii="Times New Roman" w:hAnsi="Times New Roman" w:cs="Times New Roman"/>
          <w:b/>
          <w:bCs/>
          <w:sz w:val="20"/>
          <w:szCs w:val="20"/>
        </w:rPr>
        <w:t xml:space="preserve">have been recommended by ECC to </w:t>
      </w:r>
      <w:r w:rsidRPr="00F276ED">
        <w:rPr>
          <w:rFonts w:ascii="Times New Roman" w:hAnsi="Times New Roman" w:cs="Times New Roman"/>
          <w:b/>
          <w:bCs/>
          <w:sz w:val="20"/>
          <w:szCs w:val="20"/>
        </w:rPr>
        <w:t>facilitate synchronisation</w:t>
      </w:r>
      <w:r>
        <w:rPr>
          <w:rFonts w:ascii="Times New Roman" w:hAnsi="Times New Roman" w:cs="Times New Roman"/>
          <w:b/>
          <w:bCs/>
          <w:sz w:val="20"/>
          <w:szCs w:val="20"/>
        </w:rPr>
        <w:t xml:space="preserve"> </w:t>
      </w:r>
      <w:r w:rsidRPr="00F276ED">
        <w:rPr>
          <w:rFonts w:ascii="Times New Roman" w:hAnsi="Times New Roman" w:cs="Times New Roman"/>
          <w:b/>
          <w:bCs/>
          <w:sz w:val="20"/>
          <w:szCs w:val="20"/>
        </w:rPr>
        <w:t>in the frequency band 3400-3800 MHz.</w:t>
      </w:r>
      <w:r>
        <w:rPr>
          <w:rFonts w:ascii="Times New Roman" w:hAnsi="Times New Roman" w:cs="Times New Roman" w:hint="eastAsia"/>
          <w:b/>
          <w:bCs/>
          <w:sz w:val="20"/>
          <w:szCs w:val="20"/>
        </w:rPr>
        <w:t>a</w:t>
      </w:r>
      <w:r>
        <w:rPr>
          <w:rFonts w:ascii="Times New Roman" w:hAnsi="Times New Roman" w:cs="Times New Roman"/>
          <w:b/>
          <w:bCs/>
          <w:sz w:val="20"/>
          <w:szCs w:val="20"/>
        </w:rPr>
        <w:t xml:space="preserve">t boarder areas. However, unsychronised or semi-synchronised operation of TDD MFCN </w:t>
      </w:r>
      <w:r w:rsidR="0053798D">
        <w:rPr>
          <w:rFonts w:ascii="Times New Roman" w:hAnsi="Times New Roman" w:cs="Times New Roman"/>
          <w:b/>
          <w:bCs/>
          <w:sz w:val="20"/>
          <w:szCs w:val="20"/>
        </w:rPr>
        <w:t xml:space="preserve">networks </w:t>
      </w:r>
      <w:r>
        <w:rPr>
          <w:rFonts w:ascii="Times New Roman" w:hAnsi="Times New Roman" w:cs="Times New Roman"/>
          <w:b/>
          <w:bCs/>
          <w:sz w:val="20"/>
          <w:szCs w:val="20"/>
        </w:rPr>
        <w:t>are not precluded</w:t>
      </w:r>
      <w:r w:rsidR="003B1785">
        <w:rPr>
          <w:rFonts w:ascii="Times New Roman" w:hAnsi="Times New Roman" w:cs="Times New Roman"/>
          <w:b/>
          <w:bCs/>
          <w:sz w:val="20"/>
          <w:szCs w:val="20"/>
        </w:rPr>
        <w:t xml:space="preserve"> </w:t>
      </w:r>
      <w:r w:rsidR="003B1785">
        <w:rPr>
          <w:rFonts w:ascii="Times New Roman" w:hAnsi="Times New Roman" w:cs="Times New Roman" w:hint="eastAsia"/>
          <w:b/>
          <w:bCs/>
          <w:sz w:val="20"/>
          <w:szCs w:val="20"/>
        </w:rPr>
        <w:t>with</w:t>
      </w:r>
      <w:r w:rsidR="003B1785">
        <w:rPr>
          <w:rFonts w:ascii="Times New Roman" w:hAnsi="Times New Roman" w:cs="Times New Roman"/>
          <w:b/>
          <w:bCs/>
          <w:sz w:val="20"/>
          <w:szCs w:val="20"/>
        </w:rPr>
        <w:t xml:space="preserve"> certain requirements and/or procedures of cross-boarder coordination between administrations</w:t>
      </w:r>
      <w:r>
        <w:rPr>
          <w:rFonts w:ascii="Times New Roman" w:hAnsi="Times New Roman" w:cs="Times New Roman"/>
          <w:b/>
          <w:bCs/>
          <w:sz w:val="20"/>
          <w:szCs w:val="20"/>
        </w:rPr>
        <w:t xml:space="preserve">. </w:t>
      </w:r>
    </w:p>
    <w:p w14:paraId="3F43056A" w14:textId="5F8B30F9" w:rsidR="00F74BB1" w:rsidRDefault="00514686" w:rsidP="009D3335">
      <w:pPr>
        <w:pStyle w:val="1"/>
      </w:pPr>
      <w:r>
        <w:t>Conclusion</w:t>
      </w:r>
    </w:p>
    <w:p w14:paraId="05144D8A" w14:textId="3F0BE340" w:rsidR="001462F9" w:rsidRDefault="001462F9" w:rsidP="001462F9">
      <w:pPr>
        <w:rPr>
          <w:rFonts w:ascii="Times New Roman" w:hAnsi="Times New Roman" w:cs="Times New Roman"/>
          <w:b/>
          <w:bCs/>
          <w:sz w:val="20"/>
          <w:szCs w:val="20"/>
        </w:rPr>
      </w:pPr>
      <w:r w:rsidRPr="004D6E4D">
        <w:rPr>
          <w:rFonts w:ascii="Times New Roman" w:hAnsi="Times New Roman" w:cs="Times New Roman" w:hint="eastAsia"/>
          <w:b/>
          <w:bCs/>
          <w:sz w:val="20"/>
          <w:szCs w:val="20"/>
        </w:rPr>
        <w:t>O</w:t>
      </w:r>
      <w:r w:rsidRPr="004D6E4D">
        <w:rPr>
          <w:rFonts w:ascii="Times New Roman" w:hAnsi="Times New Roman" w:cs="Times New Roman"/>
          <w:b/>
          <w:bCs/>
          <w:sz w:val="20"/>
          <w:szCs w:val="20"/>
        </w:rPr>
        <w:t>bservation 1: The evolution of NR duplex operation would bring changes to the frame structures of legacy TDD operation</w:t>
      </w:r>
      <w:r>
        <w:rPr>
          <w:rFonts w:ascii="Times New Roman" w:hAnsi="Times New Roman" w:cs="Times New Roman"/>
          <w:b/>
          <w:bCs/>
          <w:sz w:val="20"/>
          <w:szCs w:val="20"/>
        </w:rPr>
        <w:t xml:space="preserve"> and consequently may affect TDD synchroni</w:t>
      </w:r>
      <w:r w:rsidR="00F276ED">
        <w:rPr>
          <w:rFonts w:ascii="Times New Roman" w:hAnsi="Times New Roman" w:cs="Times New Roman"/>
          <w:b/>
          <w:bCs/>
          <w:sz w:val="20"/>
          <w:szCs w:val="20"/>
        </w:rPr>
        <w:t>s</w:t>
      </w:r>
      <w:r>
        <w:rPr>
          <w:rFonts w:ascii="Times New Roman" w:hAnsi="Times New Roman" w:cs="Times New Roman"/>
          <w:b/>
          <w:bCs/>
          <w:sz w:val="20"/>
          <w:szCs w:val="20"/>
        </w:rPr>
        <w:t>ation</w:t>
      </w:r>
      <w:r w:rsidRPr="004D6E4D">
        <w:rPr>
          <w:rFonts w:ascii="Times New Roman" w:hAnsi="Times New Roman" w:cs="Times New Roman"/>
          <w:b/>
          <w:bCs/>
          <w:sz w:val="20"/>
          <w:szCs w:val="20"/>
        </w:rPr>
        <w:t xml:space="preserve">. </w:t>
      </w:r>
    </w:p>
    <w:p w14:paraId="6153B870" w14:textId="77777777" w:rsidR="0081781A" w:rsidRDefault="0081781A" w:rsidP="001462F9">
      <w:pPr>
        <w:rPr>
          <w:rFonts w:ascii="Times New Roman" w:hAnsi="Times New Roman" w:cs="Times New Roman"/>
          <w:b/>
          <w:bCs/>
          <w:sz w:val="20"/>
          <w:szCs w:val="20"/>
        </w:rPr>
      </w:pPr>
    </w:p>
    <w:p w14:paraId="324E716E" w14:textId="161B1A09" w:rsidR="00514686" w:rsidRDefault="0053798D" w:rsidP="00514686">
      <w:pPr>
        <w:rPr>
          <w:lang w:val="en-GB" w:eastAsia="en-US"/>
        </w:rPr>
      </w:pPr>
      <w:r>
        <w:rPr>
          <w:rFonts w:ascii="Times New Roman" w:hAnsi="Times New Roman" w:cs="Times New Roman"/>
          <w:b/>
          <w:bCs/>
          <w:sz w:val="20"/>
          <w:szCs w:val="20"/>
        </w:rPr>
        <w:t>Observation 2</w:t>
      </w:r>
      <w:r w:rsidRPr="0081781A">
        <w:rPr>
          <w:rFonts w:ascii="Times New Roman" w:hAnsi="Times New Roman" w:cs="Times New Roman"/>
          <w:b/>
          <w:bCs/>
          <w:sz w:val="20"/>
          <w:szCs w:val="20"/>
        </w:rPr>
        <w:t xml:space="preserve">: </w:t>
      </w:r>
      <w:r>
        <w:rPr>
          <w:rFonts w:ascii="Times New Roman" w:hAnsi="Times New Roman" w:cs="Times New Roman"/>
          <w:b/>
          <w:bCs/>
          <w:sz w:val="20"/>
          <w:szCs w:val="20"/>
        </w:rPr>
        <w:t>Several frame structures for</w:t>
      </w:r>
      <w:r w:rsidRPr="00F276ED">
        <w:rPr>
          <w:rFonts w:ascii="Times New Roman" w:hAnsi="Times New Roman" w:cs="Times New Roman"/>
          <w:b/>
          <w:bCs/>
          <w:sz w:val="20"/>
          <w:szCs w:val="20"/>
        </w:rPr>
        <w:t xml:space="preserve"> TDD MFCN</w:t>
      </w:r>
      <w:r>
        <w:rPr>
          <w:rFonts w:ascii="Times New Roman" w:hAnsi="Times New Roman" w:cs="Times New Roman"/>
          <w:b/>
          <w:bCs/>
          <w:sz w:val="20"/>
          <w:szCs w:val="20"/>
        </w:rPr>
        <w:t xml:space="preserve"> networks have been recommended by ECC to </w:t>
      </w:r>
      <w:r w:rsidRPr="00F276ED">
        <w:rPr>
          <w:rFonts w:ascii="Times New Roman" w:hAnsi="Times New Roman" w:cs="Times New Roman"/>
          <w:b/>
          <w:bCs/>
          <w:sz w:val="20"/>
          <w:szCs w:val="20"/>
        </w:rPr>
        <w:t>facilitate synchronisation</w:t>
      </w:r>
      <w:r>
        <w:rPr>
          <w:rFonts w:ascii="Times New Roman" w:hAnsi="Times New Roman" w:cs="Times New Roman"/>
          <w:b/>
          <w:bCs/>
          <w:sz w:val="20"/>
          <w:szCs w:val="20"/>
        </w:rPr>
        <w:t xml:space="preserve"> </w:t>
      </w:r>
      <w:r w:rsidRPr="00F276ED">
        <w:rPr>
          <w:rFonts w:ascii="Times New Roman" w:hAnsi="Times New Roman" w:cs="Times New Roman"/>
          <w:b/>
          <w:bCs/>
          <w:sz w:val="20"/>
          <w:szCs w:val="20"/>
        </w:rPr>
        <w:t>in the frequency band 3400-3800 MHz.</w:t>
      </w:r>
      <w:r>
        <w:rPr>
          <w:rFonts w:ascii="Times New Roman" w:hAnsi="Times New Roman" w:cs="Times New Roman" w:hint="eastAsia"/>
          <w:b/>
          <w:bCs/>
          <w:sz w:val="20"/>
          <w:szCs w:val="20"/>
        </w:rPr>
        <w:t>a</w:t>
      </w:r>
      <w:r>
        <w:rPr>
          <w:rFonts w:ascii="Times New Roman" w:hAnsi="Times New Roman" w:cs="Times New Roman"/>
          <w:b/>
          <w:bCs/>
          <w:sz w:val="20"/>
          <w:szCs w:val="20"/>
        </w:rPr>
        <w:t xml:space="preserve">t boarder areas. However, unsychronised or semi-synchronised operation of TDD MFCN networks are not precluded </w:t>
      </w:r>
      <w:r>
        <w:rPr>
          <w:rFonts w:ascii="Times New Roman" w:hAnsi="Times New Roman" w:cs="Times New Roman" w:hint="eastAsia"/>
          <w:b/>
          <w:bCs/>
          <w:sz w:val="20"/>
          <w:szCs w:val="20"/>
        </w:rPr>
        <w:t>with</w:t>
      </w:r>
      <w:r>
        <w:rPr>
          <w:rFonts w:ascii="Times New Roman" w:hAnsi="Times New Roman" w:cs="Times New Roman"/>
          <w:b/>
          <w:bCs/>
          <w:sz w:val="20"/>
          <w:szCs w:val="20"/>
        </w:rPr>
        <w:t xml:space="preserve"> certain requirements and/or procedures of cross-boarder coordination between administrations.</w:t>
      </w:r>
    </w:p>
    <w:p w14:paraId="51830832" w14:textId="3D86922E" w:rsidR="00514686" w:rsidRDefault="00514686" w:rsidP="00514686">
      <w:pPr>
        <w:pStyle w:val="1"/>
      </w:pPr>
      <w:r>
        <w:t>Reference</w:t>
      </w:r>
    </w:p>
    <w:p w14:paraId="16416BA6" w14:textId="2FD92A94" w:rsidR="00514686" w:rsidRPr="007D28E5" w:rsidRDefault="00514686" w:rsidP="007D28E5">
      <w:pPr>
        <w:rPr>
          <w:rFonts w:ascii="Times New Roman" w:hAnsi="Times New Roman"/>
          <w:color w:val="000000"/>
          <w:szCs w:val="20"/>
          <w:lang w:val="en-GB"/>
        </w:rPr>
      </w:pPr>
      <w:r w:rsidRPr="007D28E5">
        <w:rPr>
          <w:rFonts w:ascii="Times New Roman" w:hAnsi="Times New Roman"/>
          <w:color w:val="000000"/>
          <w:szCs w:val="20"/>
          <w:lang w:val="en-GB"/>
        </w:rPr>
        <w:t>[1]</w:t>
      </w:r>
      <w:r w:rsidR="007D28E5" w:rsidRPr="007D28E5">
        <w:rPr>
          <w:rFonts w:ascii="Times New Roman" w:hAnsi="Times New Roman"/>
          <w:color w:val="000000"/>
          <w:szCs w:val="20"/>
          <w:lang w:val="en-GB"/>
        </w:rPr>
        <w:t xml:space="preserve"> </w:t>
      </w:r>
      <w:r w:rsidR="00902981" w:rsidRPr="007D28E5">
        <w:rPr>
          <w:rFonts w:ascii="Times New Roman" w:hAnsi="Times New Roman"/>
          <w:color w:val="000000"/>
          <w:szCs w:val="20"/>
          <w:lang w:val="en-GB"/>
        </w:rPr>
        <w:t xml:space="preserve">RP-221352, </w:t>
      </w:r>
      <w:r w:rsidR="004D6E4D" w:rsidRPr="007D28E5">
        <w:rPr>
          <w:rFonts w:ascii="Times New Roman" w:hAnsi="Times New Roman"/>
          <w:color w:val="000000"/>
          <w:szCs w:val="20"/>
          <w:lang w:val="en-GB"/>
        </w:rPr>
        <w:t>Revised SID: Study on evolution of NR duplex operation, CMCC.</w:t>
      </w:r>
    </w:p>
    <w:p w14:paraId="66CB84B0" w14:textId="1B626831" w:rsidR="00514686" w:rsidRDefault="00514686" w:rsidP="007D28E5">
      <w:pPr>
        <w:rPr>
          <w:rFonts w:ascii="Times New Roman" w:hAnsi="Times New Roman"/>
          <w:color w:val="000000"/>
          <w:szCs w:val="20"/>
          <w:lang w:val="en-GB"/>
        </w:rPr>
      </w:pPr>
      <w:r>
        <w:rPr>
          <w:rFonts w:ascii="Times New Roman" w:hAnsi="Times New Roman"/>
          <w:color w:val="000000"/>
          <w:szCs w:val="20"/>
          <w:lang w:val="en-GB"/>
        </w:rPr>
        <w:t>[2]</w:t>
      </w:r>
      <w:r w:rsidR="007D28E5">
        <w:rPr>
          <w:rFonts w:ascii="Times New Roman" w:hAnsi="Times New Roman"/>
          <w:color w:val="000000"/>
          <w:szCs w:val="20"/>
          <w:lang w:val="en-GB"/>
        </w:rPr>
        <w:t xml:space="preserve"> </w:t>
      </w:r>
      <w:r w:rsidR="0016587E" w:rsidRPr="0016587E">
        <w:rPr>
          <w:rFonts w:ascii="Times New Roman" w:hAnsi="Times New Roman"/>
          <w:color w:val="000000"/>
          <w:szCs w:val="20"/>
          <w:lang w:val="en-GB"/>
        </w:rPr>
        <w:t>ECC Decision (11)06</w:t>
      </w:r>
      <w:r w:rsidR="0016587E">
        <w:rPr>
          <w:rFonts w:ascii="Times New Roman" w:hAnsi="Times New Roman"/>
          <w:color w:val="000000"/>
          <w:szCs w:val="20"/>
          <w:lang w:val="en-GB"/>
        </w:rPr>
        <w:t xml:space="preserve">, </w:t>
      </w:r>
      <w:r w:rsidR="0016587E" w:rsidRPr="0016587E">
        <w:rPr>
          <w:rFonts w:ascii="Times New Roman" w:hAnsi="Times New Roman"/>
          <w:color w:val="000000"/>
          <w:szCs w:val="20"/>
          <w:lang w:val="en-GB"/>
        </w:rPr>
        <w:t>Harmonised frequency arrangements and least restrictive technical conditions (LRTC) for mobile/fixed communications networks (MFCN) operating in the band 3400-3800 MHz</w:t>
      </w:r>
      <w:r w:rsidR="0016587E">
        <w:rPr>
          <w:rFonts w:ascii="Times New Roman" w:hAnsi="Times New Roman"/>
          <w:color w:val="000000"/>
          <w:szCs w:val="20"/>
          <w:lang w:val="en-GB"/>
        </w:rPr>
        <w:t>, ECC</w:t>
      </w:r>
      <w:r w:rsidR="001462F9">
        <w:rPr>
          <w:rFonts w:ascii="Times New Roman" w:hAnsi="Times New Roman"/>
          <w:color w:val="000000"/>
          <w:szCs w:val="20"/>
          <w:lang w:val="en-GB"/>
        </w:rPr>
        <w:t>.</w:t>
      </w:r>
    </w:p>
    <w:p w14:paraId="5D9C021C" w14:textId="2943D53A" w:rsidR="007D28E5" w:rsidRDefault="007D28E5" w:rsidP="007D28E5">
      <w:pPr>
        <w:rPr>
          <w:rFonts w:ascii="Times New Roman" w:hAnsi="Times New Roman"/>
          <w:color w:val="000000"/>
          <w:szCs w:val="20"/>
          <w:lang w:val="en-GB"/>
        </w:rPr>
      </w:pPr>
      <w:r>
        <w:rPr>
          <w:rFonts w:ascii="Times New Roman" w:hAnsi="Times New Roman" w:hint="eastAsia"/>
          <w:color w:val="000000"/>
          <w:szCs w:val="20"/>
          <w:lang w:val="en-GB"/>
        </w:rPr>
        <w:lastRenderedPageBreak/>
        <w:t>[</w:t>
      </w:r>
      <w:r>
        <w:rPr>
          <w:rFonts w:ascii="Times New Roman" w:hAnsi="Times New Roman"/>
          <w:color w:val="000000"/>
          <w:szCs w:val="20"/>
          <w:lang w:val="en-GB"/>
        </w:rPr>
        <w:t xml:space="preserve">3] ECC </w:t>
      </w:r>
      <w:r w:rsidR="001462F9">
        <w:rPr>
          <w:rFonts w:ascii="Times New Roman" w:hAnsi="Times New Roman"/>
          <w:color w:val="000000"/>
          <w:szCs w:val="20"/>
          <w:lang w:val="en-GB"/>
        </w:rPr>
        <w:t xml:space="preserve">Recommendation (15)01, </w:t>
      </w:r>
      <w:r w:rsidR="001462F9" w:rsidRPr="001462F9">
        <w:rPr>
          <w:rFonts w:ascii="Times New Roman" w:hAnsi="Times New Roman"/>
          <w:color w:val="000000"/>
          <w:szCs w:val="20"/>
          <w:lang w:val="en-GB"/>
        </w:rPr>
        <w:t>Cross-border coordination for Mobile/Fixed Communications Networks (MFCN) in the frequency bands: 694-790 MHz, 1427-1518 MHz and 3400-3800 MHz</w:t>
      </w:r>
      <w:r w:rsidR="001462F9">
        <w:rPr>
          <w:rFonts w:ascii="Times New Roman" w:hAnsi="Times New Roman"/>
          <w:color w:val="000000"/>
          <w:szCs w:val="20"/>
          <w:lang w:val="en-GB"/>
        </w:rPr>
        <w:t>, ECC.</w:t>
      </w:r>
    </w:p>
    <w:p w14:paraId="6D21D1F9" w14:textId="53B7B783" w:rsidR="00E40343" w:rsidRPr="009E0607" w:rsidRDefault="001462F9" w:rsidP="00466C1D">
      <w:pPr>
        <w:rPr>
          <w:rFonts w:ascii="Times New Roman" w:eastAsia="MS Mincho" w:hAnsi="Times New Roman" w:cs="Times New Roman"/>
          <w:kern w:val="0"/>
          <w:sz w:val="20"/>
          <w:szCs w:val="20"/>
          <w:lang w:eastAsia="en-US"/>
        </w:rPr>
      </w:pPr>
      <w:r>
        <w:rPr>
          <w:rFonts w:ascii="Times New Roman" w:hAnsi="Times New Roman" w:hint="eastAsia"/>
          <w:color w:val="000000"/>
          <w:szCs w:val="20"/>
          <w:lang w:val="en-GB"/>
        </w:rPr>
        <w:t>[</w:t>
      </w:r>
      <w:r>
        <w:rPr>
          <w:rFonts w:ascii="Times New Roman" w:hAnsi="Times New Roman"/>
          <w:color w:val="000000"/>
          <w:szCs w:val="20"/>
          <w:lang w:val="en-GB"/>
        </w:rPr>
        <w:t xml:space="preserve">4] ECC Recommendation (20)03, </w:t>
      </w:r>
      <w:r w:rsidR="00466C1D" w:rsidRPr="00466C1D">
        <w:rPr>
          <w:rFonts w:ascii="Times New Roman" w:hAnsi="Times New Roman"/>
          <w:color w:val="000000"/>
          <w:szCs w:val="20"/>
          <w:lang w:val="en-GB"/>
        </w:rPr>
        <w:t>Frame structures to facilitate cross-border coordination of TDD MFCN in the frequency band 3400-3800 MHz</w:t>
      </w:r>
      <w:r w:rsidR="00466C1D">
        <w:rPr>
          <w:rFonts w:ascii="Times New Roman" w:hAnsi="Times New Roman"/>
          <w:color w:val="000000"/>
          <w:szCs w:val="20"/>
          <w:lang w:val="en-GB"/>
        </w:rPr>
        <w:t>, ECC.</w:t>
      </w:r>
    </w:p>
    <w:sectPr w:rsidR="00E40343" w:rsidRPr="009E0607">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3A58E" w14:textId="77777777" w:rsidR="00923B01" w:rsidRDefault="00923B01">
      <w:r>
        <w:separator/>
      </w:r>
    </w:p>
  </w:endnote>
  <w:endnote w:type="continuationSeparator" w:id="0">
    <w:p w14:paraId="5620BFF1" w14:textId="77777777" w:rsidR="00923B01" w:rsidRDefault="0092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7DD6" w14:textId="77777777" w:rsidR="000A59B4" w:rsidRDefault="000A59B4">
    <w:pPr>
      <w:pStyle w:val="aa"/>
    </w:pPr>
    <w:r>
      <w:t>3GPP</w:t>
    </w:r>
  </w:p>
  <w:p w14:paraId="49155388" w14:textId="77777777" w:rsidR="000A59B4" w:rsidRDefault="000A5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B1754" w14:textId="77777777" w:rsidR="00923B01" w:rsidRDefault="00923B01">
      <w:r>
        <w:separator/>
      </w:r>
    </w:p>
  </w:footnote>
  <w:footnote w:type="continuationSeparator" w:id="0">
    <w:p w14:paraId="3742CF43" w14:textId="77777777" w:rsidR="00923B01" w:rsidRDefault="00923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1F53684A"/>
    <w:multiLevelType w:val="multilevel"/>
    <w:tmpl w:val="79DA11E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E913BB"/>
    <w:multiLevelType w:val="hybridMultilevel"/>
    <w:tmpl w:val="338A8EC4"/>
    <w:lvl w:ilvl="0" w:tplc="0B40E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B5768"/>
    <w:multiLevelType w:val="multilevel"/>
    <w:tmpl w:val="EA5ECE5E"/>
    <w:lvl w:ilvl="0">
      <w:start w:val="6"/>
      <w:numFmt w:val="decimal"/>
      <w:lvlText w:val="%1"/>
      <w:lvlJc w:val="left"/>
      <w:pPr>
        <w:ind w:left="645" w:hanging="645"/>
      </w:pPr>
      <w:rPr>
        <w:rFonts w:cs="Arial" w:hint="default"/>
      </w:rPr>
    </w:lvl>
    <w:lvl w:ilvl="1">
      <w:start w:val="2"/>
      <w:numFmt w:val="decimal"/>
      <w:lvlText w:val="%1.%2"/>
      <w:lvlJc w:val="left"/>
      <w:pPr>
        <w:ind w:left="720" w:hanging="720"/>
      </w:pPr>
      <w:rPr>
        <w:rFonts w:cs="Arial" w:hint="default"/>
      </w:rPr>
    </w:lvl>
    <w:lvl w:ilvl="2">
      <w:start w:val="5"/>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871169"/>
    <w:multiLevelType w:val="hybridMultilevel"/>
    <w:tmpl w:val="5994EBCA"/>
    <w:lvl w:ilvl="0" w:tplc="029C9C72">
      <w:start w:val="1"/>
      <w:numFmt w:val="bullet"/>
      <w:lvlText w:val="•"/>
      <w:lvlJc w:val="left"/>
      <w:pPr>
        <w:ind w:left="1080" w:hanging="360"/>
      </w:pPr>
      <w:rPr>
        <w:rFonts w:ascii="Arial"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9"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9D704E2"/>
    <w:multiLevelType w:val="multilevel"/>
    <w:tmpl w:val="193EACB0"/>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A13E84"/>
    <w:multiLevelType w:val="hybridMultilevel"/>
    <w:tmpl w:val="7294F71A"/>
    <w:lvl w:ilvl="0" w:tplc="DB888E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6EFE592B"/>
    <w:multiLevelType w:val="hybridMultilevel"/>
    <w:tmpl w:val="096E23BA"/>
    <w:lvl w:ilvl="0" w:tplc="2D161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150E4A"/>
    <w:multiLevelType w:val="hybridMultilevel"/>
    <w:tmpl w:val="3B94F3D4"/>
    <w:lvl w:ilvl="0" w:tplc="3BF6C6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2"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3"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8"/>
  </w:num>
  <w:num w:numId="4">
    <w:abstractNumId w:val="1"/>
  </w:num>
  <w:num w:numId="5">
    <w:abstractNumId w:val="12"/>
  </w:num>
  <w:num w:numId="6">
    <w:abstractNumId w:val="16"/>
  </w:num>
  <w:num w:numId="7">
    <w:abstractNumId w:val="13"/>
  </w:num>
  <w:num w:numId="8">
    <w:abstractNumId w:val="3"/>
  </w:num>
  <w:num w:numId="9">
    <w:abstractNumId w:val="23"/>
  </w:num>
  <w:num w:numId="10">
    <w:abstractNumId w:val="10"/>
  </w:num>
  <w:num w:numId="11">
    <w:abstractNumId w:val="22"/>
  </w:num>
  <w:num w:numId="12">
    <w:abstractNumId w:val="0"/>
  </w:num>
  <w:num w:numId="13">
    <w:abstractNumId w:val="21"/>
  </w:num>
  <w:num w:numId="14">
    <w:abstractNumId w:val="18"/>
  </w:num>
  <w:num w:numId="15">
    <w:abstractNumId w:val="17"/>
  </w:num>
  <w:num w:numId="16">
    <w:abstractNumId w:val="22"/>
  </w:num>
  <w:num w:numId="17">
    <w:abstractNumId w:val="22"/>
  </w:num>
  <w:num w:numId="18">
    <w:abstractNumId w:val="22"/>
  </w:num>
  <w:num w:numId="19">
    <w:abstractNumId w:val="22"/>
  </w:num>
  <w:num w:numId="20">
    <w:abstractNumId w:val="22"/>
  </w:num>
  <w:num w:numId="21">
    <w:abstractNumId w:val="9"/>
  </w:num>
  <w:num w:numId="22">
    <w:abstractNumId w:val="22"/>
  </w:num>
  <w:num w:numId="23">
    <w:abstractNumId w:val="22"/>
  </w:num>
  <w:num w:numId="24">
    <w:abstractNumId w:val="6"/>
  </w:num>
  <w:num w:numId="25">
    <w:abstractNumId w:val="4"/>
  </w:num>
  <w:num w:numId="26">
    <w:abstractNumId w:val="20"/>
  </w:num>
  <w:num w:numId="27">
    <w:abstractNumId w:val="15"/>
  </w:num>
  <w:num w:numId="28">
    <w:abstractNumId w:val="22"/>
  </w:num>
  <w:num w:numId="29">
    <w:abstractNumId w:val="22"/>
    <w:lvlOverride w:ilvl="0">
      <w:startOverride w:val="6"/>
    </w:lvlOverride>
  </w:num>
  <w:num w:numId="30">
    <w:abstractNumId w:val="22"/>
  </w:num>
  <w:num w:numId="31">
    <w:abstractNumId w:val="22"/>
    <w:lvlOverride w:ilvl="0">
      <w:startOverride w:val="6"/>
    </w:lvlOverride>
  </w:num>
  <w:num w:numId="32">
    <w:abstractNumId w:val="5"/>
  </w:num>
  <w:num w:numId="33">
    <w:abstractNumId w:val="14"/>
  </w:num>
  <w:num w:numId="34">
    <w:abstractNumId w:val="2"/>
  </w:num>
  <w:num w:numId="35">
    <w:abstractNumId w:val="7"/>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576"/>
    <w:rsid w:val="00011062"/>
    <w:rsid w:val="00021561"/>
    <w:rsid w:val="000410BD"/>
    <w:rsid w:val="00042EBA"/>
    <w:rsid w:val="00043904"/>
    <w:rsid w:val="0006384F"/>
    <w:rsid w:val="00070D94"/>
    <w:rsid w:val="000765F9"/>
    <w:rsid w:val="00080564"/>
    <w:rsid w:val="0008593E"/>
    <w:rsid w:val="00093003"/>
    <w:rsid w:val="000A59B4"/>
    <w:rsid w:val="000B0324"/>
    <w:rsid w:val="000B6A1E"/>
    <w:rsid w:val="000C32F6"/>
    <w:rsid w:val="000C5755"/>
    <w:rsid w:val="000D7511"/>
    <w:rsid w:val="000E2495"/>
    <w:rsid w:val="000E5C39"/>
    <w:rsid w:val="000F0A98"/>
    <w:rsid w:val="000F5B85"/>
    <w:rsid w:val="00102754"/>
    <w:rsid w:val="001166F3"/>
    <w:rsid w:val="00133D10"/>
    <w:rsid w:val="00140F2A"/>
    <w:rsid w:val="001462F9"/>
    <w:rsid w:val="001500A1"/>
    <w:rsid w:val="00156A64"/>
    <w:rsid w:val="0016587E"/>
    <w:rsid w:val="00165BE0"/>
    <w:rsid w:val="00172A27"/>
    <w:rsid w:val="00191A5D"/>
    <w:rsid w:val="00197812"/>
    <w:rsid w:val="001A1EA3"/>
    <w:rsid w:val="001A524F"/>
    <w:rsid w:val="001C4E21"/>
    <w:rsid w:val="001D0244"/>
    <w:rsid w:val="001D5733"/>
    <w:rsid w:val="00211E7B"/>
    <w:rsid w:val="00225422"/>
    <w:rsid w:val="00232AB0"/>
    <w:rsid w:val="002330AE"/>
    <w:rsid w:val="00237C6A"/>
    <w:rsid w:val="0024268D"/>
    <w:rsid w:val="00250DFA"/>
    <w:rsid w:val="002553F8"/>
    <w:rsid w:val="00256731"/>
    <w:rsid w:val="002679ED"/>
    <w:rsid w:val="00277754"/>
    <w:rsid w:val="0028388E"/>
    <w:rsid w:val="0028410A"/>
    <w:rsid w:val="002842C4"/>
    <w:rsid w:val="00284B4C"/>
    <w:rsid w:val="00284BAE"/>
    <w:rsid w:val="00293F60"/>
    <w:rsid w:val="002A108E"/>
    <w:rsid w:val="002A4D15"/>
    <w:rsid w:val="002B58A7"/>
    <w:rsid w:val="002C53D3"/>
    <w:rsid w:val="002C7EAC"/>
    <w:rsid w:val="002D2748"/>
    <w:rsid w:val="002E50C8"/>
    <w:rsid w:val="002E76A6"/>
    <w:rsid w:val="002F1120"/>
    <w:rsid w:val="00301BEC"/>
    <w:rsid w:val="00312FCC"/>
    <w:rsid w:val="0032595B"/>
    <w:rsid w:val="00342069"/>
    <w:rsid w:val="003505F5"/>
    <w:rsid w:val="00352195"/>
    <w:rsid w:val="00356E0E"/>
    <w:rsid w:val="00366D76"/>
    <w:rsid w:val="00383036"/>
    <w:rsid w:val="00384608"/>
    <w:rsid w:val="00392430"/>
    <w:rsid w:val="003949BE"/>
    <w:rsid w:val="003B1785"/>
    <w:rsid w:val="003B53A5"/>
    <w:rsid w:val="003C2183"/>
    <w:rsid w:val="003D17D8"/>
    <w:rsid w:val="003D40CE"/>
    <w:rsid w:val="003D6943"/>
    <w:rsid w:val="003D6B87"/>
    <w:rsid w:val="00403F66"/>
    <w:rsid w:val="004067BD"/>
    <w:rsid w:val="00426D3E"/>
    <w:rsid w:val="00436507"/>
    <w:rsid w:val="00443C6E"/>
    <w:rsid w:val="00445722"/>
    <w:rsid w:val="00464D75"/>
    <w:rsid w:val="00466C1D"/>
    <w:rsid w:val="0047071D"/>
    <w:rsid w:val="00476541"/>
    <w:rsid w:val="00480755"/>
    <w:rsid w:val="00480809"/>
    <w:rsid w:val="004851EB"/>
    <w:rsid w:val="004947FA"/>
    <w:rsid w:val="004A1BDF"/>
    <w:rsid w:val="004D003E"/>
    <w:rsid w:val="004D62AD"/>
    <w:rsid w:val="004D6E4D"/>
    <w:rsid w:val="004E0EDC"/>
    <w:rsid w:val="004E287C"/>
    <w:rsid w:val="004E7401"/>
    <w:rsid w:val="004F3E22"/>
    <w:rsid w:val="005116A6"/>
    <w:rsid w:val="00514686"/>
    <w:rsid w:val="005348EB"/>
    <w:rsid w:val="0053798D"/>
    <w:rsid w:val="00544486"/>
    <w:rsid w:val="00550925"/>
    <w:rsid w:val="00565398"/>
    <w:rsid w:val="00571A93"/>
    <w:rsid w:val="005764E7"/>
    <w:rsid w:val="005A240A"/>
    <w:rsid w:val="005A2838"/>
    <w:rsid w:val="005B4A9E"/>
    <w:rsid w:val="005D05D3"/>
    <w:rsid w:val="005D3358"/>
    <w:rsid w:val="005F205A"/>
    <w:rsid w:val="005F64FC"/>
    <w:rsid w:val="006026D6"/>
    <w:rsid w:val="00607B1A"/>
    <w:rsid w:val="00611741"/>
    <w:rsid w:val="006123B1"/>
    <w:rsid w:val="00615CA5"/>
    <w:rsid w:val="00621D14"/>
    <w:rsid w:val="00632EA8"/>
    <w:rsid w:val="006353CD"/>
    <w:rsid w:val="00640927"/>
    <w:rsid w:val="0065454B"/>
    <w:rsid w:val="00672394"/>
    <w:rsid w:val="006740AA"/>
    <w:rsid w:val="00681C90"/>
    <w:rsid w:val="006850A5"/>
    <w:rsid w:val="0069280F"/>
    <w:rsid w:val="006A2174"/>
    <w:rsid w:val="006A3D7B"/>
    <w:rsid w:val="006A3F7C"/>
    <w:rsid w:val="006B2BA1"/>
    <w:rsid w:val="006F58B6"/>
    <w:rsid w:val="006F6D52"/>
    <w:rsid w:val="00705338"/>
    <w:rsid w:val="00706FBD"/>
    <w:rsid w:val="007164AC"/>
    <w:rsid w:val="0071759E"/>
    <w:rsid w:val="00726A0A"/>
    <w:rsid w:val="00730070"/>
    <w:rsid w:val="0073247E"/>
    <w:rsid w:val="007340D2"/>
    <w:rsid w:val="00737429"/>
    <w:rsid w:val="007418C7"/>
    <w:rsid w:val="007570BB"/>
    <w:rsid w:val="00771185"/>
    <w:rsid w:val="0078640B"/>
    <w:rsid w:val="007B5C73"/>
    <w:rsid w:val="007C4365"/>
    <w:rsid w:val="007C47AD"/>
    <w:rsid w:val="007D28E5"/>
    <w:rsid w:val="007E4D59"/>
    <w:rsid w:val="007E5CDC"/>
    <w:rsid w:val="007F2D80"/>
    <w:rsid w:val="007F4C02"/>
    <w:rsid w:val="008040D5"/>
    <w:rsid w:val="0081161E"/>
    <w:rsid w:val="0081175B"/>
    <w:rsid w:val="008122BE"/>
    <w:rsid w:val="008163C3"/>
    <w:rsid w:val="0081781A"/>
    <w:rsid w:val="00822052"/>
    <w:rsid w:val="00824CC3"/>
    <w:rsid w:val="00842653"/>
    <w:rsid w:val="008530FD"/>
    <w:rsid w:val="008538F3"/>
    <w:rsid w:val="00863724"/>
    <w:rsid w:val="0087235C"/>
    <w:rsid w:val="00872CEE"/>
    <w:rsid w:val="008838EB"/>
    <w:rsid w:val="008A1D9B"/>
    <w:rsid w:val="008C2590"/>
    <w:rsid w:val="008D319E"/>
    <w:rsid w:val="008D5F5A"/>
    <w:rsid w:val="008F393D"/>
    <w:rsid w:val="00902981"/>
    <w:rsid w:val="00917284"/>
    <w:rsid w:val="009176F8"/>
    <w:rsid w:val="00923B01"/>
    <w:rsid w:val="00924E14"/>
    <w:rsid w:val="00925445"/>
    <w:rsid w:val="00935317"/>
    <w:rsid w:val="0094014A"/>
    <w:rsid w:val="0094258C"/>
    <w:rsid w:val="00947D53"/>
    <w:rsid w:val="009510D8"/>
    <w:rsid w:val="0097176E"/>
    <w:rsid w:val="00971FD8"/>
    <w:rsid w:val="00973C3B"/>
    <w:rsid w:val="009806FC"/>
    <w:rsid w:val="00986F4B"/>
    <w:rsid w:val="009B23DE"/>
    <w:rsid w:val="009C137C"/>
    <w:rsid w:val="009C464C"/>
    <w:rsid w:val="009D3335"/>
    <w:rsid w:val="009D37A5"/>
    <w:rsid w:val="009D6BB3"/>
    <w:rsid w:val="009E0607"/>
    <w:rsid w:val="009E16B1"/>
    <w:rsid w:val="009E440E"/>
    <w:rsid w:val="00A0477A"/>
    <w:rsid w:val="00A10AA2"/>
    <w:rsid w:val="00A132E4"/>
    <w:rsid w:val="00A161D9"/>
    <w:rsid w:val="00A209B3"/>
    <w:rsid w:val="00A32148"/>
    <w:rsid w:val="00A378B5"/>
    <w:rsid w:val="00A4058B"/>
    <w:rsid w:val="00A4137A"/>
    <w:rsid w:val="00A540F3"/>
    <w:rsid w:val="00A61A33"/>
    <w:rsid w:val="00A6325D"/>
    <w:rsid w:val="00A66917"/>
    <w:rsid w:val="00A7279A"/>
    <w:rsid w:val="00A73522"/>
    <w:rsid w:val="00A80586"/>
    <w:rsid w:val="00A927FB"/>
    <w:rsid w:val="00AB01FB"/>
    <w:rsid w:val="00AB0303"/>
    <w:rsid w:val="00AB1E52"/>
    <w:rsid w:val="00AC1B94"/>
    <w:rsid w:val="00AD11BA"/>
    <w:rsid w:val="00AE2DF2"/>
    <w:rsid w:val="00AE3C1D"/>
    <w:rsid w:val="00AF03D1"/>
    <w:rsid w:val="00AF4901"/>
    <w:rsid w:val="00B05506"/>
    <w:rsid w:val="00B11B53"/>
    <w:rsid w:val="00B11E87"/>
    <w:rsid w:val="00B211D6"/>
    <w:rsid w:val="00B40262"/>
    <w:rsid w:val="00B43285"/>
    <w:rsid w:val="00B45232"/>
    <w:rsid w:val="00B53E3D"/>
    <w:rsid w:val="00B6541E"/>
    <w:rsid w:val="00BA58AA"/>
    <w:rsid w:val="00BC3B16"/>
    <w:rsid w:val="00BD1B76"/>
    <w:rsid w:val="00BE3146"/>
    <w:rsid w:val="00BF615F"/>
    <w:rsid w:val="00C01447"/>
    <w:rsid w:val="00C0364A"/>
    <w:rsid w:val="00C172B2"/>
    <w:rsid w:val="00C17381"/>
    <w:rsid w:val="00C246FD"/>
    <w:rsid w:val="00C24A93"/>
    <w:rsid w:val="00C25386"/>
    <w:rsid w:val="00C30FE8"/>
    <w:rsid w:val="00C41F3C"/>
    <w:rsid w:val="00C45315"/>
    <w:rsid w:val="00C46012"/>
    <w:rsid w:val="00C47116"/>
    <w:rsid w:val="00C53021"/>
    <w:rsid w:val="00C569F1"/>
    <w:rsid w:val="00C73EA4"/>
    <w:rsid w:val="00C7420B"/>
    <w:rsid w:val="00C9218F"/>
    <w:rsid w:val="00C960CD"/>
    <w:rsid w:val="00C9779D"/>
    <w:rsid w:val="00CA569E"/>
    <w:rsid w:val="00CB23F7"/>
    <w:rsid w:val="00CB2F7D"/>
    <w:rsid w:val="00CB360D"/>
    <w:rsid w:val="00CC3B50"/>
    <w:rsid w:val="00CC72A1"/>
    <w:rsid w:val="00CD6BD3"/>
    <w:rsid w:val="00CE0C51"/>
    <w:rsid w:val="00CE587F"/>
    <w:rsid w:val="00CF1FA6"/>
    <w:rsid w:val="00D133D0"/>
    <w:rsid w:val="00D13B3F"/>
    <w:rsid w:val="00D21EC3"/>
    <w:rsid w:val="00D2402B"/>
    <w:rsid w:val="00D30126"/>
    <w:rsid w:val="00D375E7"/>
    <w:rsid w:val="00D51CE0"/>
    <w:rsid w:val="00D75286"/>
    <w:rsid w:val="00D80A57"/>
    <w:rsid w:val="00D927FD"/>
    <w:rsid w:val="00D933CC"/>
    <w:rsid w:val="00D95392"/>
    <w:rsid w:val="00DA60F0"/>
    <w:rsid w:val="00DA65F1"/>
    <w:rsid w:val="00DC00BE"/>
    <w:rsid w:val="00DC439D"/>
    <w:rsid w:val="00DC470A"/>
    <w:rsid w:val="00DC4BA9"/>
    <w:rsid w:val="00DD0AB8"/>
    <w:rsid w:val="00DD14E8"/>
    <w:rsid w:val="00DF3830"/>
    <w:rsid w:val="00DF3F8C"/>
    <w:rsid w:val="00DF6B1C"/>
    <w:rsid w:val="00E06168"/>
    <w:rsid w:val="00E14DD8"/>
    <w:rsid w:val="00E2146B"/>
    <w:rsid w:val="00E21A85"/>
    <w:rsid w:val="00E2255A"/>
    <w:rsid w:val="00E23F99"/>
    <w:rsid w:val="00E32393"/>
    <w:rsid w:val="00E33D4B"/>
    <w:rsid w:val="00E35175"/>
    <w:rsid w:val="00E40343"/>
    <w:rsid w:val="00E459AE"/>
    <w:rsid w:val="00E574A0"/>
    <w:rsid w:val="00E72D03"/>
    <w:rsid w:val="00E76BB1"/>
    <w:rsid w:val="00E80ADD"/>
    <w:rsid w:val="00E86B09"/>
    <w:rsid w:val="00E93E17"/>
    <w:rsid w:val="00EA09E4"/>
    <w:rsid w:val="00EA1991"/>
    <w:rsid w:val="00EA4A1D"/>
    <w:rsid w:val="00EC09D6"/>
    <w:rsid w:val="00ED2AE0"/>
    <w:rsid w:val="00EE4B06"/>
    <w:rsid w:val="00EE7B51"/>
    <w:rsid w:val="00F06904"/>
    <w:rsid w:val="00F06A36"/>
    <w:rsid w:val="00F20AAE"/>
    <w:rsid w:val="00F24E5B"/>
    <w:rsid w:val="00F276ED"/>
    <w:rsid w:val="00F30179"/>
    <w:rsid w:val="00F40AD4"/>
    <w:rsid w:val="00F42FF4"/>
    <w:rsid w:val="00F5379B"/>
    <w:rsid w:val="00F60272"/>
    <w:rsid w:val="00F641EB"/>
    <w:rsid w:val="00F66F99"/>
    <w:rsid w:val="00F67AFD"/>
    <w:rsid w:val="00F70B6F"/>
    <w:rsid w:val="00F74BB1"/>
    <w:rsid w:val="00F85799"/>
    <w:rsid w:val="00F87BC4"/>
    <w:rsid w:val="00F97743"/>
    <w:rsid w:val="00FA36C6"/>
    <w:rsid w:val="00FB4593"/>
    <w:rsid w:val="00FB612E"/>
    <w:rsid w:val="00FC5797"/>
    <w:rsid w:val="00FC70CF"/>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E5835"/>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12E"/>
    <w:pPr>
      <w:widowControl w:val="0"/>
      <w:jc w:val="both"/>
    </w:pPr>
    <w:rPr>
      <w:kern w:val="2"/>
      <w:sz w:val="21"/>
      <w:szCs w:val="22"/>
    </w:r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0"/>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aliases w:val="T1,Header 6"/>
    <w:basedOn w:val="a"/>
    <w:next w:val="a"/>
    <w:link w:val="60"/>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pPr>
      <w:numPr>
        <w:ilvl w:val="7"/>
      </w:numPr>
      <w:outlineLvl w:val="7"/>
    </w:pPr>
    <w:rPr>
      <w:rFonts w:eastAsia="宋体"/>
    </w:r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pPr>
      <w:ind w:firstLineChars="200" w:firstLine="420"/>
    </w:pPr>
  </w:style>
  <w:style w:type="paragraph" w:styleId="a4">
    <w:name w:val="annotation text"/>
    <w:basedOn w:val="a"/>
    <w:link w:val="a5"/>
    <w:uiPriority w:val="99"/>
    <w:unhideWhenUsed/>
    <w:pPr>
      <w:jc w:val="left"/>
    </w:pPr>
  </w:style>
  <w:style w:type="paragraph" w:styleId="a6">
    <w:name w:val="Body Text"/>
    <w:basedOn w:val="a"/>
    <w:link w:val="a7"/>
    <w:pPr>
      <w:widowControl/>
      <w:spacing w:after="180"/>
      <w:jc w:val="left"/>
    </w:pPr>
    <w:rPr>
      <w:rFonts w:ascii="Times New Roman" w:eastAsia="Malgun Gothic" w:hAnsi="Times New Roman" w:cs="Times New Roman"/>
      <w:kern w:val="0"/>
      <w:sz w:val="20"/>
      <w:szCs w:val="20"/>
      <w:lang w:val="en-GB" w:eastAsia="en-US"/>
    </w:rPr>
  </w:style>
  <w:style w:type="paragraph" w:styleId="21">
    <w:name w:val="List 2"/>
    <w:basedOn w:val="a"/>
    <w:uiPriority w:val="99"/>
    <w:semiHidden/>
    <w:unhideWhenUsed/>
    <w:pPr>
      <w:ind w:leftChars="200" w:left="100" w:hangingChars="200" w:hanging="200"/>
      <w:contextualSpacing/>
    </w:pPr>
  </w:style>
  <w:style w:type="paragraph" w:styleId="TOC3">
    <w:name w:val="toc 3"/>
    <w:basedOn w:val="a"/>
    <w:next w:val="a"/>
    <w:uiPriority w:val="39"/>
    <w:unhideWhenUsed/>
    <w:pPr>
      <w:widowControl/>
      <w:spacing w:after="100" w:line="259" w:lineRule="auto"/>
      <w:ind w:left="440"/>
      <w:jc w:val="left"/>
    </w:pPr>
    <w:rPr>
      <w:rFonts w:cs="Times New Roman"/>
      <w:kern w:val="0"/>
      <w:sz w:val="22"/>
      <w:lang w:eastAsia="en-US"/>
    </w:rPr>
  </w:style>
  <w:style w:type="paragraph" w:styleId="a8">
    <w:name w:val="Balloon Text"/>
    <w:basedOn w:val="a"/>
    <w:link w:val="a9"/>
    <w:uiPriority w:val="99"/>
    <w:semiHidden/>
    <w:unhideWhenUsed/>
    <w:rPr>
      <w:sz w:val="18"/>
      <w:szCs w:val="18"/>
    </w:rPr>
  </w:style>
  <w:style w:type="paragraph" w:styleId="aa">
    <w:name w:val="footer"/>
    <w:basedOn w:val="ab"/>
    <w:link w:val="ac"/>
    <w:uiPriority w:val="99"/>
    <w:pPr>
      <w:pBdr>
        <w:bottom w:val="none" w:sz="0" w:space="0" w:color="auto"/>
      </w:pBdr>
      <w:snapToGrid/>
    </w:pPr>
    <w:rPr>
      <w:rFonts w:ascii="Arial" w:eastAsia="Malgun Gothic" w:hAnsi="Arial" w:cs="Times New Roman"/>
      <w:b/>
      <w:i/>
      <w:kern w:val="0"/>
      <w:szCs w:val="20"/>
      <w:lang w:val="en-GB" w:eastAsia="en-US"/>
    </w:rPr>
  </w:style>
  <w:style w:type="paragraph" w:styleId="ab">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pPr>
      <w:widowControl/>
      <w:spacing w:after="100" w:line="259" w:lineRule="auto"/>
      <w:jc w:val="left"/>
    </w:pPr>
    <w:rPr>
      <w:rFonts w:cs="Times New Roman"/>
      <w:kern w:val="0"/>
      <w:sz w:val="22"/>
      <w:lang w:eastAsia="en-US"/>
    </w:rPr>
  </w:style>
  <w:style w:type="paragraph" w:styleId="ae">
    <w:name w:val="List"/>
    <w:basedOn w:val="a"/>
    <w:uiPriority w:val="99"/>
    <w:semiHidden/>
    <w:unhideWhenUsed/>
    <w:pPr>
      <w:ind w:left="200" w:hangingChars="200" w:hanging="200"/>
      <w:contextualSpacing/>
    </w:pPr>
  </w:style>
  <w:style w:type="paragraph" w:styleId="TOC2">
    <w:name w:val="toc 2"/>
    <w:basedOn w:val="a"/>
    <w:next w:val="a"/>
    <w:uiPriority w:val="39"/>
    <w:unhideWhenUsed/>
    <w:pPr>
      <w:widowControl/>
      <w:spacing w:after="100" w:line="259" w:lineRule="auto"/>
      <w:ind w:left="220"/>
      <w:jc w:val="left"/>
    </w:pPr>
    <w:rPr>
      <w:rFonts w:cs="Times New Roman"/>
      <w:kern w:val="0"/>
      <w:sz w:val="22"/>
      <w:lang w:eastAsia="en-US"/>
    </w:rPr>
  </w:style>
  <w:style w:type="paragraph" w:styleId="af">
    <w:name w:val="annotation subject"/>
    <w:basedOn w:val="a4"/>
    <w:next w:val="a4"/>
    <w:link w:val="af0"/>
    <w:uiPriority w:val="99"/>
    <w:semiHidden/>
    <w:unhideWhenUsed/>
    <w:rPr>
      <w:b/>
      <w:bCs/>
    </w:rPr>
  </w:style>
  <w:style w:type="character" w:styleId="af1">
    <w:name w:val="Strong"/>
    <w:qFormat/>
    <w:rPr>
      <w:b/>
      <w:bCs/>
    </w:rPr>
  </w:style>
  <w:style w:type="character" w:styleId="af2">
    <w:name w:val="annotation reference"/>
    <w:basedOn w:val="a0"/>
    <w:uiPriority w:val="99"/>
    <w:semiHidden/>
    <w:unhideWhenUsed/>
    <w:rPr>
      <w:sz w:val="21"/>
      <w:szCs w:val="21"/>
    </w:rPr>
  </w:style>
  <w:style w:type="character" w:customStyle="1" w:styleId="10">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0"/>
    <w:link w:val="1"/>
    <w:rPr>
      <w:rFonts w:ascii="Arial" w:eastAsia="Malgun Gothic" w:hAnsi="Arial" w:cs="Times New Roman"/>
      <w:kern w:val="0"/>
      <w:sz w:val="36"/>
      <w:szCs w:val="20"/>
      <w:lang w:val="en-GB" w:eastAsia="en-US"/>
    </w:rPr>
  </w:style>
  <w:style w:type="character" w:customStyle="1" w:styleId="20">
    <w:name w:val="标题 2 字符"/>
    <w:basedOn w:val="a0"/>
    <w:link w:val="2"/>
    <w:rPr>
      <w:rFonts w:ascii="Arial" w:eastAsia="Malgun Gothic" w:hAnsi="Arial" w:cs="Times New Roman"/>
      <w:kern w:val="0"/>
      <w:sz w:val="32"/>
      <w:szCs w:val="20"/>
      <w:lang w:val="en-GB" w:eastAsia="en-US"/>
    </w:rPr>
  </w:style>
  <w:style w:type="character" w:customStyle="1" w:styleId="30">
    <w:name w:val="标题 3 字符"/>
    <w:basedOn w:val="a0"/>
    <w:link w:val="3"/>
    <w:rPr>
      <w:rFonts w:ascii="Arial" w:eastAsia="Malgun Gothic" w:hAnsi="Arial" w:cs="Times New Roman"/>
      <w:kern w:val="0"/>
      <w:sz w:val="28"/>
      <w:szCs w:val="20"/>
      <w:lang w:val="en-GB" w:eastAsia="en-US"/>
    </w:rPr>
  </w:style>
  <w:style w:type="paragraph" w:styleId="af3">
    <w:name w:val="List Paragraph"/>
    <w:basedOn w:val="a"/>
    <w:link w:val="af4"/>
    <w:uiPriority w:val="34"/>
    <w:qFormat/>
    <w:pPr>
      <w:ind w:firstLineChars="200" w:firstLine="420"/>
    </w:pPr>
  </w:style>
  <w:style w:type="character" w:customStyle="1" w:styleId="60">
    <w:name w:val="标题 6 字符"/>
    <w:aliases w:val="T1 字符,Header 6 字符"/>
    <w:basedOn w:val="a0"/>
    <w:link w:val="6"/>
    <w:rPr>
      <w:rFonts w:ascii="Arial" w:eastAsia="宋体" w:hAnsi="Arial" w:cs="Times New Roman"/>
      <w:kern w:val="0"/>
      <w:sz w:val="20"/>
      <w:szCs w:val="20"/>
      <w:lang w:val="en-GB" w:eastAsia="en-US"/>
    </w:rPr>
  </w:style>
  <w:style w:type="character" w:customStyle="1" w:styleId="70">
    <w:name w:val="标题 7 字符"/>
    <w:basedOn w:val="a0"/>
    <w:link w:val="7"/>
    <w:rPr>
      <w:rFonts w:ascii="Arial" w:eastAsia="宋体" w:hAnsi="Arial" w:cs="Times New Roman"/>
      <w:kern w:val="0"/>
      <w:sz w:val="20"/>
      <w:szCs w:val="20"/>
      <w:lang w:val="en-GB" w:eastAsia="en-US"/>
    </w:rPr>
  </w:style>
  <w:style w:type="character" w:customStyle="1" w:styleId="80">
    <w:name w:val="标题 8 字符"/>
    <w:basedOn w:val="a0"/>
    <w:link w:val="8"/>
    <w:rPr>
      <w:rFonts w:ascii="Arial" w:eastAsia="宋体" w:hAnsi="Arial" w:cs="Times New Roman"/>
      <w:kern w:val="0"/>
      <w:sz w:val="36"/>
      <w:szCs w:val="20"/>
      <w:lang w:val="en-GB" w:eastAsia="en-US"/>
    </w:rPr>
  </w:style>
  <w:style w:type="character" w:customStyle="1" w:styleId="90">
    <w:name w:val="标题 9 字符"/>
    <w:basedOn w:val="a0"/>
    <w:link w:val="9"/>
    <w:rPr>
      <w:rFonts w:ascii="Arial" w:eastAsia="宋体" w:hAnsi="Arial" w:cs="Times New Roman"/>
      <w:kern w:val="0"/>
      <w:sz w:val="36"/>
      <w:szCs w:val="20"/>
      <w:lang w:val="en-GB" w:eastAsia="en-US"/>
    </w:rPr>
  </w:style>
  <w:style w:type="paragraph" w:customStyle="1" w:styleId="TAL">
    <w:name w:val="TAL"/>
    <w:basedOn w:val="a"/>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a"/>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a"/>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af4">
    <w:name w:val="列表段落 字符"/>
    <w:link w:val="af3"/>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a9">
    <w:name w:val="批注框文本 字符"/>
    <w:basedOn w:val="a0"/>
    <w:link w:val="a8"/>
    <w:uiPriority w:val="99"/>
    <w:semiHidden/>
    <w:rPr>
      <w:sz w:val="18"/>
      <w:szCs w:val="18"/>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character" w:customStyle="1" w:styleId="50">
    <w:name w:val="标题 5 字符"/>
    <w:basedOn w:val="a0"/>
    <w:link w:val="5"/>
    <w:uiPriority w:val="9"/>
    <w:rPr>
      <w:b/>
      <w:bCs/>
      <w:sz w:val="28"/>
      <w:szCs w:val="28"/>
    </w:rPr>
  </w:style>
  <w:style w:type="paragraph" w:customStyle="1" w:styleId="NO">
    <w:name w:val="NO"/>
    <w:basedOn w:val="a"/>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0">
    <w:name w:val="B1"/>
    <w:basedOn w:val="a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a"/>
    <w:next w:val="a"/>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a3"/>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a"/>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1"/>
    <w:next w:val="a"/>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a7">
    <w:name w:val="正文文本 字符"/>
    <w:basedOn w:val="a0"/>
    <w:link w:val="a6"/>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a"/>
    <w:next w:val="a"/>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ac">
    <w:name w:val="页脚 字符"/>
    <w:basedOn w:val="a0"/>
    <w:link w:val="aa"/>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ad">
    <w:name w:val="页眉 字符"/>
    <w:basedOn w:val="a0"/>
    <w:link w:val="ab"/>
    <w:uiPriority w:val="99"/>
    <w:rPr>
      <w:sz w:val="18"/>
      <w:szCs w:val="18"/>
    </w:rPr>
  </w:style>
  <w:style w:type="paragraph" w:customStyle="1" w:styleId="Tablehead">
    <w:name w:val="Table_head"/>
    <w:basedOn w:val="a"/>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a"/>
    <w:next w:val="a"/>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a"/>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21"/>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a5">
    <w:name w:val="批注文字 字符"/>
    <w:basedOn w:val="a0"/>
    <w:link w:val="a4"/>
    <w:uiPriority w:val="99"/>
  </w:style>
  <w:style w:type="character" w:customStyle="1" w:styleId="af0">
    <w:name w:val="批注主题 字符"/>
    <w:basedOn w:val="a5"/>
    <w:link w:val="af"/>
    <w:uiPriority w:val="99"/>
    <w:semiHidden/>
    <w:rPr>
      <w:b/>
      <w:bCs/>
    </w:rPr>
  </w:style>
  <w:style w:type="paragraph" w:styleId="af5">
    <w:name w:val="Revision"/>
    <w:hidden/>
    <w:uiPriority w:val="99"/>
    <w:semiHidden/>
    <w:rsid w:val="009E16B1"/>
    <w:rPr>
      <w:kern w:val="2"/>
      <w:sz w:val="21"/>
      <w:szCs w:val="22"/>
    </w:rPr>
  </w:style>
  <w:style w:type="table" w:styleId="af6">
    <w:name w:val="Table Grid"/>
    <w:aliases w:val="TableGrid"/>
    <w:basedOn w:val="a1"/>
    <w:uiPriority w:val="5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f6"/>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6"/>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a"/>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51">
    <w:name w:val="List Bullet 5"/>
    <w:basedOn w:val="41"/>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41">
    <w:name w:val="List Bullet 4"/>
    <w:basedOn w:val="a"/>
    <w:uiPriority w:val="99"/>
    <w:semiHidden/>
    <w:unhideWhenUsed/>
    <w:rsid w:val="004E7401"/>
    <w:pPr>
      <w:tabs>
        <w:tab w:val="num" w:pos="720"/>
        <w:tab w:val="num" w:pos="1620"/>
      </w:tabs>
      <w:ind w:leftChars="600" w:left="1620" w:hangingChars="200" w:hanging="360"/>
      <w:contextualSpacing/>
    </w:pPr>
  </w:style>
  <w:style w:type="character" w:customStyle="1" w:styleId="TANChar">
    <w:name w:val="TAN Char"/>
    <w:link w:val="TAN"/>
    <w:qFormat/>
    <w:rsid w:val="001C4E21"/>
    <w:rPr>
      <w:rFonts w:ascii="Arial" w:eastAsia="Malgun Gothic" w:hAnsi="Arial" w:cs="Times New Roman"/>
      <w:sz w:val="18"/>
      <w:lang w:val="en-GB" w:eastAsia="en-US"/>
    </w:rPr>
  </w:style>
  <w:style w:type="paragraph" w:customStyle="1" w:styleId="B1">
    <w:name w:val="B1+"/>
    <w:basedOn w:val="B10"/>
    <w:uiPriority w:val="99"/>
    <w:rsid w:val="004D003E"/>
    <w:pPr>
      <w:numPr>
        <w:numId w:val="24"/>
      </w:numPr>
      <w:overflowPunct w:val="0"/>
      <w:autoSpaceDE w:val="0"/>
      <w:autoSpaceDN w:val="0"/>
      <w:adjustRightInd w:val="0"/>
      <w:textAlignment w:val="baseline"/>
    </w:pPr>
    <w:rPr>
      <w:rFonts w:eastAsia="宋体"/>
    </w:rPr>
  </w:style>
  <w:style w:type="paragraph" w:customStyle="1" w:styleId="Default">
    <w:name w:val="Default"/>
    <w:rsid w:val="007D28E5"/>
    <w:pPr>
      <w:widowControl w:val="0"/>
      <w:autoSpaceDE w:val="0"/>
      <w:autoSpaceDN w:val="0"/>
      <w:adjustRightInd w:val="0"/>
    </w:pPr>
    <w:rPr>
      <w:rFonts w:ascii="Arial" w:hAnsi="Arial" w:cs="Arial"/>
      <w:color w:val="000000"/>
      <w:sz w:val="24"/>
      <w:szCs w:val="24"/>
    </w:rPr>
  </w:style>
  <w:style w:type="paragraph" w:customStyle="1" w:styleId="ECCTabletext">
    <w:name w:val="ECC Table text"/>
    <w:basedOn w:val="a"/>
    <w:qFormat/>
    <w:rsid w:val="00466C1D"/>
    <w:pPr>
      <w:widowControl/>
      <w:spacing w:before="60" w:after="60"/>
    </w:pPr>
    <w:rPr>
      <w:rFonts w:ascii="Arial" w:eastAsia="Calibri" w:hAnsi="Arial" w:cs="Times New Roman"/>
      <w:kern w:val="0"/>
      <w:sz w:val="20"/>
      <w:lang w:val="en-GB" w:eastAsia="en-US"/>
    </w:rPr>
  </w:style>
  <w:style w:type="paragraph" w:customStyle="1" w:styleId="ECCTableHeaderwhitefont">
    <w:name w:val="ECC Table Header white font"/>
    <w:basedOn w:val="a"/>
    <w:qFormat/>
    <w:rsid w:val="00466C1D"/>
    <w:pPr>
      <w:widowControl/>
      <w:spacing w:before="120" w:after="120"/>
      <w:jc w:val="center"/>
    </w:pPr>
    <w:rPr>
      <w:rFonts w:ascii="Arial" w:eastAsia="宋体" w:hAnsi="Arial" w:cs="Times New Roman"/>
      <w:bCs/>
      <w:color w:val="FFFFFF" w:themeColor="background1"/>
      <w:kern w:val="0"/>
      <w:sz w:val="20"/>
      <w:szCs w:val="20"/>
      <w:lang w:val="en-GB" w:eastAsia="en-US"/>
    </w:rPr>
  </w:style>
  <w:style w:type="character" w:customStyle="1" w:styleId="ECCHLbold">
    <w:name w:val="ECC HL bold"/>
    <w:basedOn w:val="af1"/>
    <w:uiPriority w:val="1"/>
    <w:qFormat/>
    <w:rsid w:val="00466C1D"/>
    <w:rPr>
      <w:b/>
      <w:bCs/>
    </w:rPr>
  </w:style>
  <w:style w:type="paragraph" w:customStyle="1" w:styleId="ECCParagraph">
    <w:name w:val="ECC Paragraph"/>
    <w:basedOn w:val="a"/>
    <w:link w:val="ECCParagraphChar"/>
    <w:rsid w:val="00466C1D"/>
    <w:pPr>
      <w:widowControl/>
      <w:spacing w:after="240"/>
    </w:pPr>
    <w:rPr>
      <w:rFonts w:ascii="Arial" w:eastAsia="Batang" w:hAnsi="Arial" w:cs="Times New Roman"/>
      <w:kern w:val="0"/>
      <w:sz w:val="20"/>
      <w:szCs w:val="24"/>
      <w:lang w:val="en-GB" w:eastAsia="en-US"/>
    </w:rPr>
  </w:style>
  <w:style w:type="paragraph" w:customStyle="1" w:styleId="ECCTablenote">
    <w:name w:val="ECC Table note"/>
    <w:basedOn w:val="ECCParagraph"/>
    <w:next w:val="ECCParagraph"/>
    <w:autoRedefine/>
    <w:qFormat/>
    <w:rsid w:val="00466C1D"/>
    <w:pPr>
      <w:spacing w:after="0"/>
      <w:ind w:left="284" w:hanging="284"/>
    </w:pPr>
    <w:rPr>
      <w:sz w:val="16"/>
      <w:szCs w:val="16"/>
    </w:rPr>
  </w:style>
  <w:style w:type="character" w:customStyle="1" w:styleId="ECCParagraphChar">
    <w:name w:val="ECC Paragraph Char"/>
    <w:link w:val="ECCParagraph"/>
    <w:locked/>
    <w:rsid w:val="00466C1D"/>
    <w:rPr>
      <w:rFonts w:ascii="Arial" w:eastAsia="Batang" w:hAnsi="Arial" w:cs="Times New Roman"/>
      <w:szCs w:val="24"/>
      <w:lang w:val="en-GB" w:eastAsia="en-US"/>
    </w:rPr>
  </w:style>
  <w:style w:type="character" w:customStyle="1" w:styleId="author-a-uxz69zz81z6z90zz74zfxfu730ox">
    <w:name w:val="author-a-uxz69zz81z6z90zz74zfxfu730ox"/>
    <w:basedOn w:val="a0"/>
    <w:rsid w:val="00466C1D"/>
  </w:style>
  <w:style w:type="character" w:customStyle="1" w:styleId="author-a-z83zuyz73zvimm6z74zz80zcz73zz72zz73zb">
    <w:name w:val="author-a-z83zuyz73zvimm6z74zz80zcz73zz72zz73zb"/>
    <w:basedOn w:val="a0"/>
    <w:rsid w:val="0046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60986">
      <w:bodyDiv w:val="1"/>
      <w:marLeft w:val="0"/>
      <w:marRight w:val="0"/>
      <w:marTop w:val="0"/>
      <w:marBottom w:val="0"/>
      <w:divBdr>
        <w:top w:val="none" w:sz="0" w:space="0" w:color="auto"/>
        <w:left w:val="none" w:sz="0" w:space="0" w:color="auto"/>
        <w:bottom w:val="none" w:sz="0" w:space="0" w:color="auto"/>
        <w:right w:val="none" w:sz="0" w:space="0" w:color="auto"/>
      </w:divBdr>
    </w:div>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2DA0208-692A-4E98-BFA3-145BAFF718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5</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Samsung</cp:lastModifiedBy>
  <cp:revision>13</cp:revision>
  <dcterms:created xsi:type="dcterms:W3CDTF">2022-08-02T03:03:00Z</dcterms:created>
  <dcterms:modified xsi:type="dcterms:W3CDTF">2022-08-10T08:46:00Z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